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r>
        <w:drawing>
          <wp:inline distT="0" distB="0" distL="114300" distR="114300">
            <wp:extent cx="5273675" cy="7902575"/>
            <wp:effectExtent l="0" t="0" r="317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790257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书名：适应新型电力系统的电力需求侧管理市场化机制研究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"https://book.jd.com/writer/%E8%B5%B5%E6%99%93%E4%B8%9C %E9%82%93%E8%89%AF%E8%BE%B0 %E7%8E%8B%E5%A8%9F_1.html"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赵晓东 邓良辰 王娟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"https://book.jd.com/publish/%E4%B8%AD%E5%9B%BD%E7%BB%8F%E6%B5%8E%E5%87%BA%E7%89%88%E7%A4%BE_1.html" \o "中国经济出版社"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中国经济出版社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：9787513679633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在积极稳妥推进碳达峰碳中和，加快规划建设新型能源体系、全国统一电力市场等背景下，本书系统梳理了国内外电力需求侧管理的实践经验，结合研究团队长期的调研结果，深入探讨了市场化机制在电力需求侧管理中的创新应用，提出了适合我国国情的电力需求侧管理市场化发展模式，为相关政策的完善和机制创新提供了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pingfangSC" w:hAnsi="pingfangSC" w:eastAsia="pingfangSC" w:cs="pingfangSC"/>
          <w:i w:val="0"/>
          <w:iCs w:val="0"/>
          <w:caps w:val="0"/>
          <w:color w:val="757575"/>
          <w:spacing w:val="0"/>
          <w:sz w:val="21"/>
          <w:szCs w:val="21"/>
          <w:bdr w:val="none" w:color="auto" w:sz="0" w:space="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第一章背景及综述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第二章电力需求侧管理实践研究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第三章挖掘需求侧资源的经济性研究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第四章需求侧资源参与电力市场交易模式研究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第五章我国电力需求侧管理地方经验与典型案例研究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第六章展望与建议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黑体" w:hAnsi="宋体" w:eastAsia="黑体" w:cs="黑体"/>
          <w:i w:val="0"/>
          <w:iCs w:val="0"/>
          <w:caps w:val="0"/>
          <w:color w:val="757575"/>
          <w:spacing w:val="0"/>
          <w:sz w:val="36"/>
          <w:szCs w:val="36"/>
          <w:shd w:val="clear" w:fill="FFFFFF"/>
        </w:rPr>
        <w:t> </w:t>
      </w:r>
      <w:r>
        <w:rPr>
          <w:rFonts w:hint="eastAsia" w:ascii="黑体" w:hAnsi="宋体" w:eastAsia="黑体" w:cs="黑体"/>
          <w:i w:val="0"/>
          <w:iCs w:val="0"/>
          <w:caps w:val="0"/>
          <w:color w:val="757575"/>
          <w:spacing w:val="0"/>
          <w:sz w:val="36"/>
          <w:szCs w:val="36"/>
          <w:shd w:val="clear" w:fill="FFFFFF"/>
          <w:lang w:val="en-US" w:eastAsia="zh-CN"/>
        </w:rPr>
        <w:t xml:space="preserve">  </w:t>
      </w: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8006715"/>
            <wp:effectExtent l="0" t="0" r="3175"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675" cy="800671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电力科学与技术发展年度报告-新型储能技术与应用研究报告(23年)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作者：中国电力科学研究院</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ISBN：9787519895075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92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报告是中国电力科学研究院推出的系列智库报告之一，报告聚焦新型储能的发展历史，阐述了储能技术在国内外的应用实践，列举了众多新型储能应用实例，指出了目前新型储能技术面对的风险挑战以及技术瓶颈，指出未来新型储能技术的发展方向和具体路径，论述了新型储能关键技术、防护、标准体系建设、以及形态等结相关技术现状并分析未来发展趋势，对新型储能的基础研究、技术开发、工程实践及推广应用都具有重要的借鉴作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1新型储能发展现状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1.1新型储能政策环境分析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1.2新型储能发展规模及应用况</w:t>
      </w:r>
      <w:r>
        <w:rPr>
          <w:rFonts w:hint="default" w:ascii="pingfangSC" w:hAnsi="pingfangSC" w:eastAsia="pingfangSC" w:cs="pingfangSC"/>
          <w:i w:val="0"/>
          <w:iCs w:val="0"/>
          <w:caps w:val="0"/>
          <w:color w:val="666666"/>
          <w:spacing w:val="0"/>
          <w:sz w:val="24"/>
          <w:szCs w:val="24"/>
          <w:bdr w:val="none" w:color="auto" w:sz="0" w:space="0"/>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1.3新型储能研发现状分析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1.4新型储能技术现状分析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2新型储能关键技术</w:t>
      </w:r>
      <w:r>
        <w:rPr>
          <w:rFonts w:hint="default" w:ascii="pingfangSC" w:hAnsi="pingfangSC" w:eastAsia="pingfangSC" w:cs="pingfangSC"/>
          <w:i w:val="0"/>
          <w:iCs w:val="0"/>
          <w:caps w:val="0"/>
          <w:color w:val="666666"/>
          <w:spacing w:val="0"/>
          <w:sz w:val="24"/>
          <w:szCs w:val="24"/>
          <w:bdr w:val="none" w:color="auto" w:sz="0" w:space="0"/>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2.1本造技术</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2.2系统集成技术</w:t>
      </w:r>
      <w:r>
        <w:rPr>
          <w:rFonts w:hint="default" w:ascii="pingfangSC" w:hAnsi="pingfangSC" w:eastAsia="pingfangSC" w:cs="pingfangSC"/>
          <w:i w:val="0"/>
          <w:iCs w:val="0"/>
          <w:caps w:val="0"/>
          <w:color w:val="666666"/>
          <w:spacing w:val="0"/>
          <w:sz w:val="24"/>
          <w:szCs w:val="24"/>
          <w:bdr w:val="none" w:color="auto" w:sz="0" w:space="0"/>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3.1储能电站现状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3.2储能电站运行风险</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3.3防护技术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644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3675" cy="786447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新型电力系统电磁测量关键技术及其标准化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 白静芬主编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ISBN：9787519895549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300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：150</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在新型电力系统建设背景下，本书简单梳理了新型电力系统及其电磁测量关键技术、新型电力系统电磁测量标准化组织及其标准化工作相关研究成果，从新型电力系统电磁测量技术、电磁测量标准化现状、标准体系总体规划、标准体系具体布局、标准国际化战略等方面进行了介绍，内容丰富、体系完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本书可供从事新型电力系统电磁测量技术研究、设计、工程应用等专业人员使用，也可作为大专院校师生的参考书。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概述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 1.1 背景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 1.2 目的和意义 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第2章 新型电力系统电磁测量技术简介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 2.1 新型电力系统 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 2.2 新型电力系统电磁测量系统 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第3章 新型电力系统电磁测量技术与标准发展现状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273925"/>
            <wp:effectExtent l="0" t="0" r="317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3675" cy="727392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书名：面向新型电力系统的数字化前沿分析报告 2023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作者：中国电力科学研究院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ISBN：9787519887964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100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90.00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1概述</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2国内外能源电力系统数字化战略规划及项目布局</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3面向新型电力系统的数字技术分析</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4电力系统数字化发展趋势及建议</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5总结与展望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章阐述了新型电力系统对数字化的新要求及新型电力系统数字化的内涵，并分别从发电侧、输变电侧、配电侧、用户侧、电力市场和碳市场这5个环节，列举了12个数字技术与电力业务相结合的应用场景。第2章以美国、日本、欧盟为代表，分析国内外电力系统数字化发展历程，解析重点战略规划和政策，通过文本挖掘、主题识别和主题聚类揭示项目重点布局方向，揭示国内外在能源电力系统数字化的战略部署特点和演变趋势。第3章针对电力系统中应用广泛的传感器、5G、物联网、移动互联网、边缘计算、云计算、大数据、人工智能、数字孪生、区块链10大关键数字技术，利用论文和专利数据，从科学计量角度揭示全球和中国上述技术的基础研究和技术开发的现状、特征及趋势。第4章在对国内电力行业和数字化领域lO位知名专家访谈的基础上，综合分析专家的意见建议，提出新型电力系统数字化发展趋势与发展思路和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711440"/>
            <wp:effectExtent l="0" t="0" r="317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273675" cy="77114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新型电力系统下多类型储能参与辅助服务市场建模仿真研究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作者：王良友 等 著</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台海出版社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2025-03</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9787519894191</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196</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60.00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本书重点研究了新型电力系统下多类型储能参与辅助服务市场建模仿真分析方法，推动多类型储能资源的市场化应用。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right="0" w:firstLine="480" w:firstLineChars="20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本书可供电力系统规划、调度、市场交易与营销等领域研究人员或管理人员阅读参考，也可作为能源电力领域相关专业研究生和本科生的参考书。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 新型电力系统与储能</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 储能发展现状及应用场景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 多类型储能参与电力辅助服务的综合边际成本模型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 储能参与电力辅助服务在综合价值评估模型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 储能集群与辅助服务市场出清与平衡优化机制</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 储能参与电力辅助服务的市场仿真系统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 储能发展技术路线及建议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44790"/>
            <wp:effectExtent l="0" t="0" r="3175"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5273675" cy="78447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书名：新型电力系统配电网网格化规划及应用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：陈彬 主编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ISBN：9787519896980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252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随着新型电力系统建设的不断，配电网侧接入了大规模源荷储新要素，广泛应用了直流配电、柔性互联等新技术，因此，探讨新型电力系统配电网网格化规划方法是十分有必要的。</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配电网网格化规划工作的专业参考书，内容主括新型电力系统配电网概述、配电网构要素、配电网新技术应用、新型电力系统配电网网格属性和特性、新型电力系统配电网网格划分及应用、新型电力系统配电网网格化规划内容与流程、网格发展诊断、电力需求预测、源荷储新要素配置、中压目标网架及近中期网架规划、低压配电网规划、智能化规划、新型电力系统配电网网格化规划案例。旨在为新型电力系统配电网网格化规划提供有力的技术与实践支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1新型电力系统配电网概述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1.1新型电力系统概述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1.1.1电力系统转型发展需求</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1.1.2新型电力系统的基本特征</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1.2新型电力系统配电网概述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1.2.1配电网转型升级面临的挑战</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1.2.2新型电力系统配电网的形态和特征</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1.2.3展阶段及演变路径</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2配电网构要素</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2.1分布式电源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9080709"/>
    <w:rsid w:val="0AD132AF"/>
    <w:rsid w:val="0BD51671"/>
    <w:rsid w:val="0FB62CCC"/>
    <w:rsid w:val="0FBF0FEB"/>
    <w:rsid w:val="10A83678"/>
    <w:rsid w:val="12BF44A8"/>
    <w:rsid w:val="148E744A"/>
    <w:rsid w:val="15F51BEB"/>
    <w:rsid w:val="18541703"/>
    <w:rsid w:val="186B338C"/>
    <w:rsid w:val="186E53E6"/>
    <w:rsid w:val="187C1A78"/>
    <w:rsid w:val="187E4B65"/>
    <w:rsid w:val="1A333A08"/>
    <w:rsid w:val="1A745F99"/>
    <w:rsid w:val="1B465CD1"/>
    <w:rsid w:val="1BCE4CF0"/>
    <w:rsid w:val="1C150605"/>
    <w:rsid w:val="1CB302CB"/>
    <w:rsid w:val="202D5E2F"/>
    <w:rsid w:val="220838CE"/>
    <w:rsid w:val="22992BCA"/>
    <w:rsid w:val="22FA69AF"/>
    <w:rsid w:val="236E665E"/>
    <w:rsid w:val="24A70C5B"/>
    <w:rsid w:val="25CD0B63"/>
    <w:rsid w:val="26D836ED"/>
    <w:rsid w:val="272B7EDF"/>
    <w:rsid w:val="280F1E14"/>
    <w:rsid w:val="29872D19"/>
    <w:rsid w:val="29D04FE7"/>
    <w:rsid w:val="2A0738C1"/>
    <w:rsid w:val="2CE450F1"/>
    <w:rsid w:val="2D8F4E20"/>
    <w:rsid w:val="2D9B67DD"/>
    <w:rsid w:val="2DAF120C"/>
    <w:rsid w:val="2EE17643"/>
    <w:rsid w:val="2F2E599C"/>
    <w:rsid w:val="2F8D4C6A"/>
    <w:rsid w:val="32A66FC4"/>
    <w:rsid w:val="32CB6170"/>
    <w:rsid w:val="32CE0285"/>
    <w:rsid w:val="33AE69BF"/>
    <w:rsid w:val="34D57167"/>
    <w:rsid w:val="35547C67"/>
    <w:rsid w:val="36411DB4"/>
    <w:rsid w:val="3656250D"/>
    <w:rsid w:val="37CC2B67"/>
    <w:rsid w:val="38400821"/>
    <w:rsid w:val="398B027D"/>
    <w:rsid w:val="3B6F335A"/>
    <w:rsid w:val="3B837B67"/>
    <w:rsid w:val="3BA43570"/>
    <w:rsid w:val="3C9C4007"/>
    <w:rsid w:val="3D1B1311"/>
    <w:rsid w:val="3E904565"/>
    <w:rsid w:val="3F185755"/>
    <w:rsid w:val="400728F0"/>
    <w:rsid w:val="40DB2480"/>
    <w:rsid w:val="411614CB"/>
    <w:rsid w:val="41C77DBD"/>
    <w:rsid w:val="42737FED"/>
    <w:rsid w:val="43CB3869"/>
    <w:rsid w:val="43EE69C3"/>
    <w:rsid w:val="449329B5"/>
    <w:rsid w:val="459E3C16"/>
    <w:rsid w:val="45C862E3"/>
    <w:rsid w:val="46911AB2"/>
    <w:rsid w:val="46B076E8"/>
    <w:rsid w:val="48013058"/>
    <w:rsid w:val="48ED30E4"/>
    <w:rsid w:val="4A0E0EA9"/>
    <w:rsid w:val="4A0E6A0A"/>
    <w:rsid w:val="4A6C4282"/>
    <w:rsid w:val="4BC17332"/>
    <w:rsid w:val="4BFE20C5"/>
    <w:rsid w:val="4CCC114D"/>
    <w:rsid w:val="4D0E2AB5"/>
    <w:rsid w:val="4D8003F6"/>
    <w:rsid w:val="4E5550B1"/>
    <w:rsid w:val="4F98774A"/>
    <w:rsid w:val="4F9A1A35"/>
    <w:rsid w:val="505D2BFA"/>
    <w:rsid w:val="50CC79A3"/>
    <w:rsid w:val="517C546B"/>
    <w:rsid w:val="51FA368D"/>
    <w:rsid w:val="522F2331"/>
    <w:rsid w:val="529334FC"/>
    <w:rsid w:val="52C52F96"/>
    <w:rsid w:val="52EB3D30"/>
    <w:rsid w:val="531749C2"/>
    <w:rsid w:val="53F73EAD"/>
    <w:rsid w:val="548E77CE"/>
    <w:rsid w:val="55E873A2"/>
    <w:rsid w:val="55FA758A"/>
    <w:rsid w:val="58234285"/>
    <w:rsid w:val="59136BDB"/>
    <w:rsid w:val="59D74073"/>
    <w:rsid w:val="59EA0AF1"/>
    <w:rsid w:val="5A1A0218"/>
    <w:rsid w:val="5A8A4E62"/>
    <w:rsid w:val="5B17729A"/>
    <w:rsid w:val="5C427C1E"/>
    <w:rsid w:val="5C8241B5"/>
    <w:rsid w:val="5CE1369D"/>
    <w:rsid w:val="5D1F5AD7"/>
    <w:rsid w:val="5DF81F4F"/>
    <w:rsid w:val="5E1C0A1B"/>
    <w:rsid w:val="5FCE4D91"/>
    <w:rsid w:val="62054A19"/>
    <w:rsid w:val="63EE7854"/>
    <w:rsid w:val="648F2367"/>
    <w:rsid w:val="64A75888"/>
    <w:rsid w:val="65204904"/>
    <w:rsid w:val="65235452"/>
    <w:rsid w:val="652E1D4D"/>
    <w:rsid w:val="652F630F"/>
    <w:rsid w:val="65A86554"/>
    <w:rsid w:val="66317954"/>
    <w:rsid w:val="66455EEA"/>
    <w:rsid w:val="6706686C"/>
    <w:rsid w:val="67493989"/>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3A2221"/>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_Style 8"/>
    <w:basedOn w:val="1"/>
    <w:next w:val="1"/>
    <w:qFormat/>
    <w:uiPriority w:val="0"/>
    <w:pPr>
      <w:pBdr>
        <w:bottom w:val="single" w:color="auto" w:sz="6" w:space="1"/>
      </w:pBdr>
      <w:jc w:val="center"/>
    </w:pPr>
    <w:rPr>
      <w:rFonts w:ascii="Arial" w:eastAsia="宋体"/>
      <w:vanish/>
      <w:sz w:val="16"/>
    </w:rPr>
  </w:style>
  <w:style w:type="paragraph" w:customStyle="1" w:styleId="12">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2025-08-06T07:28:33Z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BE24BF4CA4B9401292065CBA48B5052A</vt:lpwstr>
  </property>
</Properties>
</file>