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pPr>
      <w:r>
        <w:drawing>
          <wp:inline distT="0" distB="0" distL="114300" distR="114300">
            <wp:extent cx="6085205" cy="8104505"/>
            <wp:effectExtent l="0" t="0" r="10795" b="1079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4"/>
                    <a:stretch>
                      <a:fillRect/>
                    </a:stretch>
                  </pic:blipFill>
                  <pic:spPr>
                    <a:xfrm>
                      <a:off x="0" y="0"/>
                      <a:ext cx="6085205" cy="810450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i w:val="0"/>
          <w:iCs w:val="0"/>
          <w:caps w:val="0"/>
          <w:color w:val="auto"/>
          <w:spacing w:val="0"/>
          <w:sz w:val="24"/>
          <w:szCs w:val="24"/>
          <w:shd w:val="clear" w:fill="FFFFFF"/>
        </w:rPr>
        <w:t>抽水蓄能电站群海量时序数据实时分析技术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i w:val="0"/>
          <w:iCs w:val="0"/>
          <w:caps w:val="0"/>
          <w:color w:val="auto"/>
          <w:spacing w:val="0"/>
          <w:sz w:val="24"/>
          <w:szCs w:val="24"/>
          <w:shd w:val="clear" w:fill="FFFFFF"/>
        </w:rPr>
        <w:t>张豪，赵增涛，余益龙著</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auto"/>
          <w:spacing w:val="0"/>
          <w:sz w:val="24"/>
          <w:szCs w:val="24"/>
          <w:shd w:val="clear" w:fill="FFFFFF"/>
        </w:rPr>
        <w:t>中国电力出版社</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cstheme="minorEastAsia"/>
          <w:b w:val="0"/>
          <w:i w:val="0"/>
          <w:caps w:val="0"/>
          <w:color w:val="auto"/>
          <w:spacing w:val="0"/>
          <w:kern w:val="0"/>
          <w:sz w:val="24"/>
          <w:szCs w:val="24"/>
          <w:shd w:val="clear" w:fill="FFFFFF"/>
          <w:lang w:val="en-US" w:eastAsia="zh-CN" w:bidi="ar"/>
        </w:rPr>
        <w:t>20</w:t>
      </w:r>
      <w:r>
        <w:rPr>
          <w:rFonts w:hint="eastAsia" w:asciiTheme="minorEastAsia" w:hAnsiTheme="minorEastAsia" w:eastAsiaTheme="minorEastAsia" w:cstheme="minorEastAsia"/>
          <w:i w:val="0"/>
          <w:iCs w:val="0"/>
          <w:caps w:val="0"/>
          <w:color w:val="auto"/>
          <w:spacing w:val="0"/>
          <w:sz w:val="24"/>
          <w:szCs w:val="24"/>
          <w:shd w:val="clear" w:fill="FFFFFF"/>
        </w:rPr>
        <w:t>23-01-01</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i w:val="0"/>
          <w:iCs w:val="0"/>
          <w:caps w:val="0"/>
          <w:color w:val="auto"/>
          <w:spacing w:val="0"/>
          <w:sz w:val="24"/>
          <w:szCs w:val="24"/>
          <w:shd w:val="clear" w:fill="FFFFFF"/>
        </w:rPr>
        <w:t>9787519893859</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页码：240</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定价：75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eastAsia" w:asciiTheme="minorEastAsia" w:hAnsiTheme="minorEastAsia" w:eastAsiaTheme="minorEastAsia" w:cstheme="minorEastAsia"/>
          <w:color w:val="auto"/>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sz w:val="24"/>
          <w:szCs w:val="24"/>
          <w:shd w:val="clear" w:fill="FFFFFF"/>
        </w:rPr>
        <w:t>抽水蓄能电站、济运行需要即时对各系统的运行状态感知，支持生产运行支持系统对电站设行科学调度、对可能出现的设备缺陷等问题早发现、早干预处理。精准、全面的状态感知，关键的支撑信息是多源系统采集的实时数据。通过构建抽水蓄能实时数据监督体系，建立实时数据全景设备及观测模型，融合多源实时数据、提升实时数据质量，并构建实时数据及其生成的时序数据的分析环境，实现实时数据监督、强化自动巡维策略定义和执行，充分发挥多系统实时数据在运维检修领域的价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666666"/>
          <w:spacing w:val="0"/>
          <w:sz w:val="24"/>
          <w:szCs w:val="24"/>
          <w:bdr w:val="none" w:color="auto" w:sz="0" w:space="0"/>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前言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bdr w:val="none" w:color="auto" w:sz="0" w:space="0"/>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概述</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1.1抽水蓄能电站时序数据- 003</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时序数据分析处理研究现状- 005</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1.3对时序数据的探索历程</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1.4全文主旨思想</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时序数据业务场景分析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2.1设备动作监测场景分析-016</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2.2设备运行参数监测场景分析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2.3设备整体状态监测场景分析</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3,4电站测点越限数据巡检</w:t>
      </w:r>
    </w:p>
    <w:p>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rPr>
        <w:t>3.5电站音流数据巡检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ascii="宋体" w:hAnsi="宋体" w:eastAsia="宋体" w:cs="宋体"/>
          <w:sz w:val="24"/>
          <w:szCs w:val="24"/>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cente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440680" cy="7227570"/>
            <wp:effectExtent l="0" t="0" r="7620" b="1143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6"/>
                    <a:stretch>
                      <a:fillRect/>
                    </a:stretch>
                  </pic:blipFill>
                  <pic:spPr>
                    <a:xfrm>
                      <a:off x="0" y="0"/>
                      <a:ext cx="5440680" cy="7227570"/>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i w:val="0"/>
          <w:iCs w:val="0"/>
          <w:caps w:val="0"/>
          <w:color w:val="auto"/>
          <w:spacing w:val="0"/>
          <w:sz w:val="24"/>
          <w:szCs w:val="24"/>
          <w:shd w:val="clear" w:fill="FFFFFF"/>
        </w:rPr>
        <w:t>中国能源研究会抽水蓄能专委会2024年度论文集</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i w:val="0"/>
          <w:iCs w:val="0"/>
          <w:caps w:val="0"/>
          <w:color w:val="auto"/>
          <w:spacing w:val="0"/>
          <w:sz w:val="24"/>
          <w:szCs w:val="24"/>
          <w:shd w:val="clear" w:fill="FFFFFF"/>
        </w:rPr>
        <w:t>中国能源研究会抽水蓄能专业委员会 编</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separate"/>
      </w:r>
      <w:r>
        <w:rPr>
          <w:rStyle w:val="12"/>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t>中国电力出版社</w: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end"/>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i w:val="0"/>
          <w:iCs w:val="0"/>
          <w:caps w:val="0"/>
          <w:color w:val="auto"/>
          <w:spacing w:val="0"/>
          <w:sz w:val="24"/>
          <w:szCs w:val="24"/>
          <w:shd w:val="clear" w:fill="FFFFFF"/>
        </w:rPr>
        <w:t>2024-12-01</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i w:val="0"/>
          <w:iCs w:val="0"/>
          <w:caps w:val="0"/>
          <w:color w:val="auto"/>
          <w:spacing w:val="0"/>
          <w:sz w:val="24"/>
          <w:szCs w:val="24"/>
          <w:shd w:val="clear" w:fill="FFFFFF"/>
        </w:rPr>
        <w:t>9787519894405</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页码：400</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定价：125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中国能源研究会抽水蓄能专委会成立于2023年，计划于2024年11月召开第二次年会，围绕抽水蓄能相关领域，征集论文70余篇，筛选出近40篇优秀论文编制论文集，主要为碳达峰碳中和、构建新型电力系统、抽水蓄能功能作用、抽水蓄能关键技术、机组设备、施工技术、电价机制、新技术新方向等的论文。此次论文由中国能源研究会抽水蓄能专委会于大会召开前发布正文通知组织征集，面向会员单位及其他社会面儿抽水蓄能设计、施工、设备制造等相关单位进行征集，征稿收口后组织行业专家进行审稿和遴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jc w:val="both"/>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抽水蓄能电站投资增长影响因素及作用程度研究/ 吴浩军，张菊梅，马 赫，葛志娟 / 1</w:t>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大型球阀水压智能测控系统研究与应用/ 刘学东，崔兴国，杜芝鹏，罗钧铧，吴建杰，杨王波，衡 宇 / 9</w:t>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寒区抽水蓄能电站冬季上库放水条件下冰盖破坏模拟分析/ 马栋和，朱海波，任 航 / 16</w:t>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荒沟抽水蓄能电站地下厂房岩壁吊车梁荷载试验专项监测研究/ 马洪亮，彭立斌 / 23</w:t>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rPr>
        <w:br w:type="textWrapping"/>
      </w:r>
      <w:r>
        <w:rPr>
          <w:rFonts w:hint="eastAsia" w:asciiTheme="minorEastAsia" w:hAnsiTheme="minorEastAsia" w:eastAsiaTheme="minorEastAsia" w:cstheme="minorEastAsia"/>
          <w:sz w:val="24"/>
          <w:szCs w:val="24"/>
          <w:bdr w:val="none" w:color="auto" w:sz="0" w:space="0"/>
        </w:rPr>
        <w:br w:type="textWrapping"/>
      </w:r>
      <w:r>
        <w:drawing>
          <wp:inline distT="0" distB="0" distL="114300" distR="114300">
            <wp:extent cx="5330825" cy="8360410"/>
            <wp:effectExtent l="0" t="0" r="3175" b="2540"/>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7"/>
                    <a:stretch>
                      <a:fillRect/>
                    </a:stretch>
                  </pic:blipFill>
                  <pic:spPr>
                    <a:xfrm>
                      <a:off x="0" y="0"/>
                      <a:ext cx="5330825" cy="8360410"/>
                    </a:xfrm>
                    <a:prstGeom prst="rect">
                      <a:avLst/>
                    </a:prstGeom>
                    <a:noFill/>
                    <a:ln>
                      <a:noFill/>
                    </a:ln>
                  </pic:spPr>
                </pic:pic>
              </a:graphicData>
            </a:graphic>
          </wp:inline>
        </w:drawing>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书名：抽水蓄能电站金属技术监督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作者：</w:t>
      </w:r>
      <w:r>
        <w:rPr>
          <w:rFonts w:hint="eastAsia" w:asciiTheme="minorEastAsia" w:hAnsiTheme="minorEastAsia" w:eastAsiaTheme="minorEastAsia" w:cstheme="minorEastAsia"/>
          <w:i w:val="0"/>
          <w:iCs w:val="0"/>
          <w:caps w:val="0"/>
          <w:color w:val="auto"/>
          <w:spacing w:val="0"/>
          <w:sz w:val="24"/>
          <w:szCs w:val="24"/>
          <w:shd w:val="clear" w:fill="FFFFFF"/>
        </w:rPr>
        <w:t>赵强,倪晋兵</w:t>
      </w:r>
      <w:r>
        <w:rPr>
          <w:rFonts w:hint="eastAsia" w:asciiTheme="minorEastAsia" w:hAnsiTheme="minorEastAsia" w:eastAsiaTheme="minorEastAsia" w:cstheme="minorEastAsia"/>
          <w:i w:val="0"/>
          <w:iCs w:val="0"/>
          <w:caps w:val="0"/>
          <w:color w:val="auto"/>
          <w:spacing w:val="0"/>
          <w:sz w:val="24"/>
          <w:szCs w:val="24"/>
          <w:shd w:val="clear" w:fill="FFFFFF"/>
          <w:lang w:val="en-US" w:eastAsia="zh-CN"/>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出版社：</w: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separate"/>
      </w:r>
      <w:r>
        <w:rPr>
          <w:rStyle w:val="12"/>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t>中国电力出版社</w:t>
      </w:r>
      <w:r>
        <w:rPr>
          <w:rFonts w:hint="eastAsia" w:asciiTheme="minorEastAsia" w:hAnsiTheme="minorEastAsia" w:eastAsiaTheme="minorEastAsia" w:cstheme="minorEastAsia"/>
          <w:i w:val="0"/>
          <w:iCs w:val="0"/>
          <w:caps w:val="0"/>
          <w:color w:val="auto"/>
          <w:spacing w:val="0"/>
          <w:sz w:val="24"/>
          <w:szCs w:val="24"/>
          <w:u w:val="none"/>
          <w:bdr w:val="none" w:color="auto" w:sz="0" w:space="0"/>
          <w:shd w:val="clear" w:fill="FFFFFF"/>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color w:val="auto"/>
          <w:kern w:val="0"/>
          <w:sz w:val="24"/>
          <w:szCs w:val="24"/>
          <w:lang w:val="en-US" w:eastAsia="zh-CN" w:bidi="ar"/>
        </w:rPr>
        <w:t>出版日期：</w:t>
      </w:r>
      <w:r>
        <w:rPr>
          <w:rFonts w:hint="eastAsia" w:asciiTheme="minorEastAsia" w:hAnsiTheme="minorEastAsia" w:eastAsiaTheme="minorEastAsia" w:cstheme="minorEastAsia"/>
          <w:i w:val="0"/>
          <w:iCs w:val="0"/>
          <w:caps w:val="0"/>
          <w:color w:val="auto"/>
          <w:spacing w:val="0"/>
          <w:sz w:val="24"/>
          <w:szCs w:val="24"/>
          <w:shd w:val="clear" w:fill="FFFFFF"/>
        </w:rPr>
        <w:t>2024-10-24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color w:val="auto"/>
          <w:kern w:val="0"/>
          <w:sz w:val="24"/>
          <w:szCs w:val="24"/>
          <w:lang w:val="en-US" w:eastAsia="zh-CN" w:bidi="ar"/>
        </w:rPr>
        <w:t>ISBN：</w:t>
      </w:r>
      <w:r>
        <w:rPr>
          <w:rFonts w:hint="eastAsia" w:asciiTheme="minorEastAsia" w:hAnsiTheme="minorEastAsia" w:eastAsiaTheme="minorEastAsia" w:cstheme="minorEastAsia"/>
          <w:i w:val="0"/>
          <w:iCs w:val="0"/>
          <w:caps w:val="0"/>
          <w:color w:val="auto"/>
          <w:spacing w:val="0"/>
          <w:sz w:val="24"/>
          <w:szCs w:val="24"/>
          <w:shd w:val="clear" w:fill="FFFFFF"/>
        </w:rPr>
        <w:t>9787519891435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页码：384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定价：200.00元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装帧：平装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color w:val="auto"/>
          <w:kern w:val="0"/>
          <w:sz w:val="24"/>
          <w:szCs w:val="24"/>
          <w:lang w:val="en-US" w:eastAsia="zh-CN" w:bidi="ar"/>
        </w:rPr>
      </w:pPr>
      <w:r>
        <w:rPr>
          <w:rFonts w:hint="eastAsia" w:asciiTheme="minorEastAsia" w:hAnsiTheme="minorEastAsia" w:eastAsiaTheme="minorEastAsia" w:cstheme="minorEastAsia"/>
          <w:b w:val="0"/>
          <w:color w:val="auto"/>
          <w:kern w:val="0"/>
          <w:sz w:val="24"/>
          <w:szCs w:val="24"/>
          <w:lang w:val="en-US" w:eastAsia="zh-CN" w:bidi="ar"/>
        </w:rPr>
        <w:t>开本：16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color w:val="auto"/>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随着全球能源结构转型，清洁能源和可再生能源的发展受到重视。抽水蓄能电站因其独特的调节功能，对保障电网稳定运行和促进新能源消纳等方面发挥着重要作用。在国家政策的推动以及技术不断进步的条件下，我国抽水蓄能事业快速发展，成为电力系统不可或缺的重要组成部分。金属结构是关系抽水蓄能电站安全运行的关键组成部分，对于其设计、制造、安装、运行和维护等各个环节，都需要进行严格的技术监督和管理，以确保电站的安全、稳定和高效运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pPr>
      <w:r>
        <w:rPr>
          <w:rFonts w:hint="eastAsia" w:asciiTheme="minorEastAsia" w:hAnsiTheme="minorEastAsia" w:eastAsiaTheme="minorEastAsia" w:cstheme="minorEastAsia"/>
          <w:i w:val="0"/>
          <w:iCs w:val="0"/>
          <w:caps w:val="0"/>
          <w:color w:val="auto"/>
          <w:spacing w:val="0"/>
          <w:sz w:val="24"/>
          <w:szCs w:val="24"/>
          <w:shd w:val="clear" w:fill="FFFFFF"/>
        </w:rPr>
        <w:t>前言</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lang w:eastAsia="zh-CN"/>
        </w:rPr>
        <w:t>第一</w:t>
      </w:r>
      <w:r>
        <w:rPr>
          <w:rFonts w:hint="eastAsia" w:asciiTheme="minorEastAsia" w:hAnsiTheme="minorEastAsia" w:eastAsiaTheme="minorEastAsia" w:cstheme="minorEastAsia"/>
          <w:i w:val="0"/>
          <w:iCs w:val="0"/>
          <w:caps w:val="0"/>
          <w:color w:val="auto"/>
          <w:spacing w:val="0"/>
          <w:sz w:val="24"/>
          <w:szCs w:val="24"/>
          <w:shd w:val="clear" w:fill="FFFFFF"/>
        </w:rPr>
        <w:t>章 金属技术监督概述</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lang w:eastAsia="zh-CN"/>
        </w:rPr>
        <w:t>第一</w:t>
      </w:r>
      <w:r>
        <w:rPr>
          <w:rFonts w:hint="eastAsia" w:asciiTheme="minorEastAsia" w:hAnsiTheme="minorEastAsia" w:eastAsiaTheme="minorEastAsia" w:cstheme="minorEastAsia"/>
          <w:i w:val="0"/>
          <w:iCs w:val="0"/>
          <w:caps w:val="0"/>
          <w:color w:val="auto"/>
          <w:spacing w:val="0"/>
          <w:sz w:val="24"/>
          <w:szCs w:val="24"/>
          <w:shd w:val="clear" w:fill="FFFFFF"/>
        </w:rPr>
        <w:t>节 技术监督的发展历程</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第二节 抽水蓄能电站金属技术监督概述</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第二章 金属材料特点、分类及常用理化性能检测</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cstheme="minorEastAsia"/>
          <w:i w:val="0"/>
          <w:iCs w:val="0"/>
          <w:caps w:val="0"/>
          <w:color w:val="auto"/>
          <w:spacing w:val="0"/>
          <w:sz w:val="24"/>
          <w:szCs w:val="24"/>
          <w:bdr w:val="none" w:color="auto" w:sz="0" w:space="0"/>
          <w:shd w:val="clear" w:fill="FFFFFF"/>
          <w:lang w:eastAsia="zh-CN"/>
        </w:rPr>
        <w:t>第一</w:t>
      </w:r>
      <w:r>
        <w:rPr>
          <w:rFonts w:hint="eastAsia" w:asciiTheme="minorEastAsia" w:hAnsiTheme="minorEastAsia" w:eastAsiaTheme="minorEastAsia" w:cstheme="minorEastAsia"/>
          <w:i w:val="0"/>
          <w:iCs w:val="0"/>
          <w:caps w:val="0"/>
          <w:color w:val="auto"/>
          <w:spacing w:val="0"/>
          <w:sz w:val="24"/>
          <w:szCs w:val="24"/>
          <w:shd w:val="clear" w:fill="FFFFFF"/>
        </w:rPr>
        <w:t>节 金属材料的化学成分及组织</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第二节 钢的热处理</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第三节 钢铁材料的分类及牌号</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806440" cy="7625080"/>
            <wp:effectExtent l="0" t="0" r="3810" b="1397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8"/>
                    <a:stretch>
                      <a:fillRect/>
                    </a:stretch>
                  </pic:blipFill>
                  <pic:spPr>
                    <a:xfrm>
                      <a:off x="0" y="0"/>
                      <a:ext cx="5806440" cy="762508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i w:val="0"/>
          <w:iCs w:val="0"/>
          <w:caps w:val="0"/>
          <w:color w:val="auto"/>
          <w:spacing w:val="0"/>
          <w:sz w:val="24"/>
          <w:szCs w:val="24"/>
          <w:shd w:val="clear" w:fill="FFFFFF"/>
        </w:rPr>
        <w:t>特大型电网企业网络安全从业指南:Java代码审计与分析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i w:val="0"/>
          <w:iCs w:val="0"/>
          <w:caps w:val="0"/>
          <w:color w:val="auto"/>
          <w:spacing w:val="0"/>
          <w:sz w:val="24"/>
          <w:szCs w:val="24"/>
          <w:shd w:val="clear" w:fill="FFFFFF"/>
        </w:rPr>
        <w:t>王文辉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auto"/>
          <w:spacing w:val="0"/>
          <w:sz w:val="24"/>
          <w:szCs w:val="24"/>
          <w:shd w:val="clear" w:fill="FFFFFF"/>
        </w:rPr>
        <w:t>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i w:val="0"/>
          <w:iCs w:val="0"/>
          <w:caps w:val="0"/>
          <w:color w:val="auto"/>
          <w:spacing w:val="0"/>
          <w:sz w:val="24"/>
          <w:szCs w:val="24"/>
          <w:shd w:val="clear" w:fill="FFFFFF"/>
        </w:rPr>
        <w:t>2024-10-01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i w:val="0"/>
          <w:iCs w:val="0"/>
          <w:caps w:val="0"/>
          <w:color w:val="auto"/>
          <w:spacing w:val="0"/>
          <w:sz w:val="24"/>
          <w:szCs w:val="24"/>
          <w:shd w:val="clear" w:fill="FFFFFF"/>
        </w:rPr>
        <w:t>9787519886677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页码：409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定价：158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装帧：平</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t>《特大型电网企业网络安全从业指南 JAVA 代码审计与分析》旨在为读者提供全面、系统的 Java代码审计知识和实用技能，帮助读者掌握代码审计的理论和实践。全书共6章，主要内容包括：第 1 章详细介绍 Java 环境的搭建，以及几款实用的代码审计（code review）利器，为开展代码审计奠定基础；第 2 章从 Java 开发的角度，系统性介绍代码审计的理论知识，帮助读者更好地理解代码审计技巧和要点；第 3 章详细介绍代码审计技巧，包括代码审计目标、方法与思路，以及常见漏洞的审计要点、供应链组件的审计要点及应用中间件的审计要点，帮助读者更有效地开展代码审计。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前言</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 环境搭建</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1.1 Java开发运行环境</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1.1.1 OracleJDK安装与配置</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bidi w:val="0"/>
        <w:rPr>
          <w:rFonts w:hint="eastAsia" w:asciiTheme="minorHAnsi" w:hAnsiTheme="minorHAnsi" w:eastAsiaTheme="minorEastAsia" w:cstheme="minorBidi"/>
          <w:kern w:val="2"/>
          <w:sz w:val="21"/>
          <w:szCs w:val="24"/>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6047105" cy="7942580"/>
            <wp:effectExtent l="0" t="0" r="10795" b="127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9"/>
                    <a:stretch>
                      <a:fillRect/>
                    </a:stretch>
                  </pic:blipFill>
                  <pic:spPr>
                    <a:xfrm>
                      <a:off x="0" y="0"/>
                      <a:ext cx="6047105" cy="794258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i w:val="0"/>
          <w:iCs w:val="0"/>
          <w:caps w:val="0"/>
          <w:color w:val="auto"/>
          <w:spacing w:val="0"/>
          <w:sz w:val="24"/>
          <w:szCs w:val="24"/>
          <w:shd w:val="clear" w:fill="FFFFFF"/>
        </w:rPr>
        <w:t>新型电气化研究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i w:val="0"/>
          <w:iCs w:val="0"/>
          <w:caps w:val="0"/>
          <w:color w:val="auto"/>
          <w:spacing w:val="0"/>
          <w:sz w:val="24"/>
          <w:szCs w:val="24"/>
          <w:shd w:val="clear" w:fill="FFFFFF"/>
        </w:rPr>
        <w:t>辛保安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cstheme="minorEastAsia"/>
          <w:b w:val="0"/>
          <w:i w:val="0"/>
          <w:caps w:val="0"/>
          <w:color w:val="auto"/>
          <w:spacing w:val="0"/>
          <w:kern w:val="0"/>
          <w:sz w:val="24"/>
          <w:szCs w:val="24"/>
          <w:shd w:val="clear" w:fill="FFFFFF"/>
          <w:lang w:val="en-US" w:eastAsia="zh-CN" w:bidi="ar"/>
        </w:rPr>
        <w:t>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auto"/>
          <w:spacing w:val="0"/>
          <w:sz w:val="24"/>
          <w:szCs w:val="24"/>
          <w:shd w:val="clear" w:fill="FFFFFF"/>
        </w:rPr>
        <w:t>中国电力出版社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i w:val="0"/>
          <w:iCs w:val="0"/>
          <w:caps w:val="0"/>
          <w:color w:val="auto"/>
          <w:spacing w:val="0"/>
          <w:sz w:val="24"/>
          <w:szCs w:val="24"/>
          <w:shd w:val="clear" w:fill="FFFFFF"/>
        </w:rPr>
        <w:t>2024-10-01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i w:val="0"/>
          <w:iCs w:val="0"/>
          <w:caps w:val="0"/>
          <w:color w:val="auto"/>
          <w:spacing w:val="0"/>
          <w:sz w:val="24"/>
          <w:szCs w:val="24"/>
          <w:shd w:val="clear" w:fill="FFFFFF"/>
        </w:rPr>
        <w:t>9787519892814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200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bCs/>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新型电气化是以能源消费革命为,以技术创新为驱动,以体制机制创新为保障,推动在终端用能领域以电能和电制氢、电制燃料原材料等对化石能源进行全面深度替代,提升综合电气化率,推动在全社会形成绿色低碳、高效便捷、智能灵活的用能方式。</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cstheme="minorEastAsia"/>
          <w:i w:val="0"/>
          <w:iCs w:val="0"/>
          <w:caps w:val="0"/>
          <w:color w:val="auto"/>
          <w:spacing w:val="0"/>
          <w:sz w:val="24"/>
          <w:szCs w:val="24"/>
          <w:bdr w:val="none" w:color="auto" w:sz="0" w:space="0"/>
          <w:shd w:val="clear" w:fill="FFFFFF"/>
          <w:lang w:val="en-US" w:eastAsia="zh-CN"/>
        </w:rPr>
        <w:t xml:space="preserve">   </w:t>
      </w:r>
      <w:r>
        <w:rPr>
          <w:rFonts w:hint="eastAsia" w:asciiTheme="minorEastAsia" w:hAnsiTheme="minorEastAsia" w:eastAsiaTheme="minorEastAsia" w:cstheme="minorEastAsia"/>
          <w:i w:val="0"/>
          <w:iCs w:val="0"/>
          <w:caps w:val="0"/>
          <w:color w:val="auto"/>
          <w:spacing w:val="0"/>
          <w:sz w:val="24"/>
          <w:szCs w:val="24"/>
          <w:shd w:val="clear" w:fill="FFFFFF"/>
        </w:rPr>
        <w:t>本书共分六章。第d一章系统阐述新型电气化的理念内涵与重大意义。第二章全面梳理新型电气化的六大类关键技术,研判发展趋势。第三章构建综合性、系统性的能源情景预测模型,分析测算中国的电气化发展潜力与路径。第四章构建新型电气化负荷灵活性调节模型,提出“等效储能”的灵活性评价指标,量化评估各类用电负荷对电力系统的灵活性贡献潜力。第五章结合产业发展阶段与特征,提出政策与机制建议。第六章总结报告的主要观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i w:val="0"/>
          <w:iCs w:val="0"/>
          <w:caps w:val="0"/>
          <w:color w:val="auto"/>
          <w:spacing w:val="0"/>
          <w:sz w:val="24"/>
          <w:szCs w:val="24"/>
          <w:shd w:val="clear" w:fill="FFFFFF"/>
        </w:rPr>
      </w:pPr>
      <w:r>
        <w:rPr>
          <w:rFonts w:hint="eastAsia" w:asciiTheme="minorEastAsia" w:hAnsiTheme="minorEastAsia" w:eastAsiaTheme="minorEastAsia" w:cstheme="minorEastAsia"/>
          <w:i w:val="0"/>
          <w:iCs w:val="0"/>
          <w:caps w:val="0"/>
          <w:color w:val="auto"/>
          <w:spacing w:val="0"/>
          <w:sz w:val="24"/>
          <w:szCs w:val="24"/>
          <w:shd w:val="clear" w:fill="FFFFFF"/>
        </w:rPr>
        <w:t>前言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　理念与意义 1</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1.1　发展现状 2</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1.2　概念与内涵 6</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1.3　重大意义 7</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1.4　新型电气化与新型电力系统 11</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　关键技术 13</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2.1　电气化交通 14</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2.2　电制热（冷） 36</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ascii="宋体" w:hAnsi="宋体" w:eastAsia="宋体" w:cs="宋体"/>
          <w:sz w:val="24"/>
          <w:szCs w:val="24"/>
        </w:rPr>
        <w:drawing>
          <wp:inline distT="0" distB="0" distL="114300" distR="114300">
            <wp:extent cx="304800" cy="304800"/>
            <wp:effectExtent l="0" t="0" r="0" b="0"/>
            <wp:docPr id="20"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descr="IMG_256"/>
                    <pic:cNvPicPr>
                      <a:picLocks noChangeAspect="1"/>
                    </pic:cNvPicPr>
                  </pic:nvPicPr>
                  <pic:blipFill>
                    <a:blip r:embed="rId5"/>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6076950" cy="8047990"/>
            <wp:effectExtent l="0" t="0" r="0" b="1016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10"/>
                    <a:stretch>
                      <a:fillRect/>
                    </a:stretch>
                  </pic:blipFill>
                  <pic:spPr>
                    <a:xfrm>
                      <a:off x="0" y="0"/>
                      <a:ext cx="6076950" cy="804799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书名：继电保护光纤通道原理及测试技术</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i w:val="0"/>
          <w:iCs w:val="0"/>
          <w:caps w:val="0"/>
          <w:color w:val="1A1A1A"/>
          <w:spacing w:val="0"/>
          <w:sz w:val="24"/>
          <w:szCs w:val="24"/>
          <w:shd w:val="clear" w:fill="FFFFFF"/>
        </w:rPr>
        <w:t>韩伟 等 编</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fldChar w:fldCharType="begin"/>
      </w:r>
      <w:r>
        <w:rPr>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instrText xml:space="preserve"> HYPERLINK "https://search.jd.com/Search?keyword=%E4%B8%AD%E5%9B%BD%E7%94%B5%E5%8A%9B%E5%87%BA%E7%89%88%E7%A4%BE&amp;enc=utf-8" \t "https://item.jd.com/_blank" </w:instrText>
      </w:r>
      <w:r>
        <w:rPr>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fldChar w:fldCharType="separate"/>
      </w:r>
      <w:r>
        <w:rPr>
          <w:rStyle w:val="12"/>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t>中国电力出版社</w:t>
      </w:r>
      <w:r>
        <w:rPr>
          <w:rFonts w:hint="eastAsia" w:asciiTheme="minorEastAsia" w:hAnsiTheme="minorEastAsia" w:eastAsiaTheme="minorEastAsia" w:cstheme="minorEastAsia"/>
          <w:i w:val="0"/>
          <w:iCs w:val="0"/>
          <w:caps w:val="0"/>
          <w:color w:val="1A1A1A"/>
          <w:spacing w:val="0"/>
          <w:sz w:val="24"/>
          <w:szCs w:val="24"/>
          <w:u w:val="none"/>
          <w:bdr w:val="none" w:color="auto" w:sz="0" w:space="0"/>
          <w:shd w:val="clear" w:fill="FFFFFF"/>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i w:val="0"/>
          <w:iCs w:val="0"/>
          <w:caps w:val="0"/>
          <w:color w:val="1A1A1A"/>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i w:val="0"/>
          <w:iCs w:val="0"/>
          <w:caps w:val="0"/>
          <w:color w:val="1A1A1A"/>
          <w:spacing w:val="0"/>
          <w:sz w:val="24"/>
          <w:szCs w:val="24"/>
          <w:shd w:val="clear" w:fill="FFFFFF"/>
        </w:rPr>
        <w:t>2024-11-01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i w:val="0"/>
          <w:iCs w:val="0"/>
          <w:caps w:val="0"/>
          <w:color w:val="1A1A1A"/>
          <w:spacing w:val="0"/>
          <w:sz w:val="24"/>
          <w:szCs w:val="24"/>
          <w:shd w:val="clear" w:fill="FFFFFF"/>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i w:val="0"/>
          <w:iCs w:val="0"/>
          <w:caps w:val="0"/>
          <w:color w:val="1A1A1A"/>
          <w:spacing w:val="0"/>
          <w:sz w:val="24"/>
          <w:szCs w:val="24"/>
          <w:shd w:val="clear" w:fill="FFFFFF"/>
        </w:rPr>
        <w:t>9787519890193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192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16开</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420"/>
        <w:jc w:val="left"/>
        <w:textAlignment w:val="auto"/>
        <w:rPr>
          <w:rFonts w:hint="eastAsia" w:asciiTheme="minorEastAsia" w:hAnsiTheme="minorEastAsia" w:eastAsiaTheme="minorEastAsia" w:cstheme="minorEastAsia"/>
          <w:i w:val="0"/>
          <w:iCs w:val="0"/>
          <w:caps w:val="0"/>
          <w:color w:val="auto"/>
          <w:spacing w:val="0"/>
          <w:sz w:val="24"/>
          <w:szCs w:val="24"/>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i w:val="0"/>
          <w:iCs w:val="0"/>
          <w:caps w:val="0"/>
          <w:color w:val="auto"/>
          <w:spacing w:val="0"/>
          <w:kern w:val="0"/>
          <w:sz w:val="24"/>
          <w:szCs w:val="24"/>
          <w:bdr w:val="none" w:color="auto" w:sz="0" w:space="0"/>
          <w:shd w:val="clear" w:fill="FFFFFF"/>
          <w:lang w:val="en-US" w:eastAsia="zh-CN" w:bidi="ar"/>
        </w:rPr>
        <w:t>本书详细讲解了线路保护及数字通信的技术知识，如线路保护通道、通信系统、数字编码与调制等技术，着重介绍了光纤通信系统的构成、分类、特性、参数以及相关基本工作原理；阐述了光纤通信在电力系统中的应用，重点讲解了光纤差动保护技术的工作原理、通信方式、通道误码、延时对保护的影响及要求；介绍了主流光纤链路及光纤通道的测试技术，包括继电保护光纤智能测试仪、光纤链路智能在线监测设备的功能和应用等情况；重点论述了差动保护光纤通道检测技术，包括光纤通道检测项目、核心指标、检测仪器、检测方法、调试步骤以及常见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i w:val="0"/>
          <w:iCs w:val="0"/>
          <w:caps w:val="0"/>
          <w:color w:val="auto"/>
          <w:spacing w:val="0"/>
          <w:sz w:val="24"/>
          <w:szCs w:val="24"/>
          <w:shd w:val="clear" w:fill="FFFFFF"/>
        </w:rPr>
        <w:t>前言</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1 线路保护基础知识1</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1.1 输电线路保护1</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1.2 线路保护的通道2</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1.3 光纤差动保护6</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2 数字通信基础知识8</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2.1 通信系统介绍8</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2.2 数字通信技术18</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r>
        <w:rPr>
          <w:rFonts w:hint="eastAsia" w:asciiTheme="minorEastAsia" w:hAnsiTheme="minorEastAsia" w:eastAsiaTheme="minorEastAsia" w:cstheme="minorEastAsia"/>
          <w:i w:val="0"/>
          <w:iCs w:val="0"/>
          <w:caps w:val="0"/>
          <w:color w:val="auto"/>
          <w:spacing w:val="0"/>
          <w:sz w:val="24"/>
          <w:szCs w:val="24"/>
          <w:shd w:val="clear" w:fill="FFFFFF"/>
        </w:rPr>
        <w:t>2.3 光纤通信系统49</w:t>
      </w:r>
      <w:r>
        <w:rPr>
          <w:rFonts w:hint="eastAsia" w:asciiTheme="minorEastAsia" w:hAnsiTheme="minorEastAsia" w:eastAsiaTheme="minorEastAsia" w:cstheme="minorEastAsia"/>
          <w:i w:val="0"/>
          <w:iCs w:val="0"/>
          <w:caps w:val="0"/>
          <w:color w:val="auto"/>
          <w:spacing w:val="0"/>
          <w:sz w:val="24"/>
          <w:szCs w:val="24"/>
          <w:bdr w:val="none" w:color="auto" w:sz="0" w:space="0"/>
          <w:shd w:val="clear" w:fill="FFFFFF"/>
        </w:rPr>
        <w:br w:type="textWrapp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67D3DF4"/>
    <w:rsid w:val="06FB3367"/>
    <w:rsid w:val="071D17B4"/>
    <w:rsid w:val="073E4821"/>
    <w:rsid w:val="07E95068"/>
    <w:rsid w:val="087F603E"/>
    <w:rsid w:val="088E26B0"/>
    <w:rsid w:val="08C7736C"/>
    <w:rsid w:val="08E566E0"/>
    <w:rsid w:val="09080709"/>
    <w:rsid w:val="0A3C4EDA"/>
    <w:rsid w:val="0AD132AF"/>
    <w:rsid w:val="0B894B7C"/>
    <w:rsid w:val="0BD51671"/>
    <w:rsid w:val="0EA4025E"/>
    <w:rsid w:val="0FAA6AF9"/>
    <w:rsid w:val="0FB62CCC"/>
    <w:rsid w:val="0FBF0FEB"/>
    <w:rsid w:val="10A83678"/>
    <w:rsid w:val="10F91381"/>
    <w:rsid w:val="122848F8"/>
    <w:rsid w:val="12AE23B5"/>
    <w:rsid w:val="12BF44A8"/>
    <w:rsid w:val="148E744A"/>
    <w:rsid w:val="14E276D0"/>
    <w:rsid w:val="15F51BEB"/>
    <w:rsid w:val="169D4FEF"/>
    <w:rsid w:val="16F51E76"/>
    <w:rsid w:val="174156B7"/>
    <w:rsid w:val="17F17DC8"/>
    <w:rsid w:val="18216F24"/>
    <w:rsid w:val="18541703"/>
    <w:rsid w:val="186B338C"/>
    <w:rsid w:val="186E53E6"/>
    <w:rsid w:val="187C1A78"/>
    <w:rsid w:val="187E4B65"/>
    <w:rsid w:val="19817F77"/>
    <w:rsid w:val="1A04434E"/>
    <w:rsid w:val="1A333A08"/>
    <w:rsid w:val="1A745F99"/>
    <w:rsid w:val="1B2607CB"/>
    <w:rsid w:val="1B465CD1"/>
    <w:rsid w:val="1BCE4CF0"/>
    <w:rsid w:val="1C150605"/>
    <w:rsid w:val="1CB302CB"/>
    <w:rsid w:val="1DF26751"/>
    <w:rsid w:val="1EE32998"/>
    <w:rsid w:val="202D5E2F"/>
    <w:rsid w:val="214E5B76"/>
    <w:rsid w:val="220838CE"/>
    <w:rsid w:val="22992BCA"/>
    <w:rsid w:val="22FA69AF"/>
    <w:rsid w:val="236E665E"/>
    <w:rsid w:val="24A70C5B"/>
    <w:rsid w:val="25B501EF"/>
    <w:rsid w:val="25CD0B63"/>
    <w:rsid w:val="26944375"/>
    <w:rsid w:val="26D836ED"/>
    <w:rsid w:val="272B7EDF"/>
    <w:rsid w:val="280F1E14"/>
    <w:rsid w:val="29317765"/>
    <w:rsid w:val="29872D19"/>
    <w:rsid w:val="29D04FE7"/>
    <w:rsid w:val="2A042187"/>
    <w:rsid w:val="2A0738C1"/>
    <w:rsid w:val="2AC86164"/>
    <w:rsid w:val="2B316D6D"/>
    <w:rsid w:val="2BC63BC8"/>
    <w:rsid w:val="2CE450F1"/>
    <w:rsid w:val="2D8F4E20"/>
    <w:rsid w:val="2D9B67DD"/>
    <w:rsid w:val="2DAF120C"/>
    <w:rsid w:val="2DC32F62"/>
    <w:rsid w:val="2E7B71FF"/>
    <w:rsid w:val="2EE17643"/>
    <w:rsid w:val="2F2E599C"/>
    <w:rsid w:val="2F8D4C6A"/>
    <w:rsid w:val="30BE1F06"/>
    <w:rsid w:val="3118289B"/>
    <w:rsid w:val="312C033C"/>
    <w:rsid w:val="32A66FC4"/>
    <w:rsid w:val="32CB6170"/>
    <w:rsid w:val="32CE0285"/>
    <w:rsid w:val="33AE69BF"/>
    <w:rsid w:val="34423B4E"/>
    <w:rsid w:val="34D57167"/>
    <w:rsid w:val="35547C67"/>
    <w:rsid w:val="36411DB4"/>
    <w:rsid w:val="36545D30"/>
    <w:rsid w:val="3656250D"/>
    <w:rsid w:val="37CC2B67"/>
    <w:rsid w:val="38400821"/>
    <w:rsid w:val="39274492"/>
    <w:rsid w:val="398B027D"/>
    <w:rsid w:val="3B5A1E73"/>
    <w:rsid w:val="3B6F335A"/>
    <w:rsid w:val="3B837B67"/>
    <w:rsid w:val="3BA43570"/>
    <w:rsid w:val="3C9C4007"/>
    <w:rsid w:val="3D1B1311"/>
    <w:rsid w:val="3DCF25DF"/>
    <w:rsid w:val="3E1F3CF7"/>
    <w:rsid w:val="3E904565"/>
    <w:rsid w:val="3EFA68D0"/>
    <w:rsid w:val="3F185755"/>
    <w:rsid w:val="400728F0"/>
    <w:rsid w:val="40DB2480"/>
    <w:rsid w:val="411614CB"/>
    <w:rsid w:val="41C77DBD"/>
    <w:rsid w:val="42737FED"/>
    <w:rsid w:val="42B76D04"/>
    <w:rsid w:val="43CB3869"/>
    <w:rsid w:val="43EE69C3"/>
    <w:rsid w:val="449329B5"/>
    <w:rsid w:val="459E3C16"/>
    <w:rsid w:val="45C862E3"/>
    <w:rsid w:val="46845740"/>
    <w:rsid w:val="46911AB2"/>
    <w:rsid w:val="46B076E8"/>
    <w:rsid w:val="48013058"/>
    <w:rsid w:val="48665620"/>
    <w:rsid w:val="48ED30E4"/>
    <w:rsid w:val="4A0E0EA9"/>
    <w:rsid w:val="4A0E6A0A"/>
    <w:rsid w:val="4A6C4282"/>
    <w:rsid w:val="4BC17332"/>
    <w:rsid w:val="4BFE20C5"/>
    <w:rsid w:val="4CCC114D"/>
    <w:rsid w:val="4D0E2AB5"/>
    <w:rsid w:val="4D8003F6"/>
    <w:rsid w:val="4E057E10"/>
    <w:rsid w:val="4E5550B1"/>
    <w:rsid w:val="4F210E89"/>
    <w:rsid w:val="4F5764B9"/>
    <w:rsid w:val="4F98774A"/>
    <w:rsid w:val="4F9A1A35"/>
    <w:rsid w:val="50226E86"/>
    <w:rsid w:val="505D2BFA"/>
    <w:rsid w:val="50CC79A3"/>
    <w:rsid w:val="51087240"/>
    <w:rsid w:val="517C546B"/>
    <w:rsid w:val="51FA368D"/>
    <w:rsid w:val="521E3449"/>
    <w:rsid w:val="522F2331"/>
    <w:rsid w:val="529334FC"/>
    <w:rsid w:val="52C52F96"/>
    <w:rsid w:val="52EB3D30"/>
    <w:rsid w:val="531749C2"/>
    <w:rsid w:val="53447DDA"/>
    <w:rsid w:val="539A4AC7"/>
    <w:rsid w:val="53F73EAD"/>
    <w:rsid w:val="548E77CE"/>
    <w:rsid w:val="55517A88"/>
    <w:rsid w:val="55E873A2"/>
    <w:rsid w:val="55FA758A"/>
    <w:rsid w:val="56DB3C6C"/>
    <w:rsid w:val="58234285"/>
    <w:rsid w:val="59136BDB"/>
    <w:rsid w:val="59401B30"/>
    <w:rsid w:val="599101BB"/>
    <w:rsid w:val="59D74073"/>
    <w:rsid w:val="59EA0AF1"/>
    <w:rsid w:val="5A1A0218"/>
    <w:rsid w:val="5A8A4E62"/>
    <w:rsid w:val="5B17729A"/>
    <w:rsid w:val="5B3D7925"/>
    <w:rsid w:val="5B412CC6"/>
    <w:rsid w:val="5C427C1E"/>
    <w:rsid w:val="5C8241B5"/>
    <w:rsid w:val="5CE1369D"/>
    <w:rsid w:val="5D1F5AD7"/>
    <w:rsid w:val="5DF81F4F"/>
    <w:rsid w:val="5E1C0A1B"/>
    <w:rsid w:val="5FCE4D91"/>
    <w:rsid w:val="62054A19"/>
    <w:rsid w:val="62E63A64"/>
    <w:rsid w:val="636805D3"/>
    <w:rsid w:val="636A5B78"/>
    <w:rsid w:val="63AA7892"/>
    <w:rsid w:val="63EE7854"/>
    <w:rsid w:val="648F2367"/>
    <w:rsid w:val="64A75888"/>
    <w:rsid w:val="65204904"/>
    <w:rsid w:val="65235452"/>
    <w:rsid w:val="652E1D4D"/>
    <w:rsid w:val="652F630F"/>
    <w:rsid w:val="65A86554"/>
    <w:rsid w:val="66317954"/>
    <w:rsid w:val="66455EEA"/>
    <w:rsid w:val="6706686C"/>
    <w:rsid w:val="67493989"/>
    <w:rsid w:val="68DA0494"/>
    <w:rsid w:val="68E05C5C"/>
    <w:rsid w:val="69921113"/>
    <w:rsid w:val="69CE30C7"/>
    <w:rsid w:val="6A5E61C0"/>
    <w:rsid w:val="6ADE596B"/>
    <w:rsid w:val="6B9B5DB9"/>
    <w:rsid w:val="6C0E4B07"/>
    <w:rsid w:val="6C1D7D6E"/>
    <w:rsid w:val="6CC93B86"/>
    <w:rsid w:val="6D6C4E17"/>
    <w:rsid w:val="6DCF7170"/>
    <w:rsid w:val="6E091096"/>
    <w:rsid w:val="6E184573"/>
    <w:rsid w:val="6EFA5482"/>
    <w:rsid w:val="6F957F4A"/>
    <w:rsid w:val="6F9C3969"/>
    <w:rsid w:val="6FAB550E"/>
    <w:rsid w:val="70712660"/>
    <w:rsid w:val="720170D1"/>
    <w:rsid w:val="72DD7F15"/>
    <w:rsid w:val="74021C92"/>
    <w:rsid w:val="7442413A"/>
    <w:rsid w:val="74DD408E"/>
    <w:rsid w:val="75B841FA"/>
    <w:rsid w:val="75D960DE"/>
    <w:rsid w:val="76581835"/>
    <w:rsid w:val="769C61B8"/>
    <w:rsid w:val="76CD09D0"/>
    <w:rsid w:val="77473CF9"/>
    <w:rsid w:val="79482AAA"/>
    <w:rsid w:val="799A08EB"/>
    <w:rsid w:val="7A0E51A8"/>
    <w:rsid w:val="7ACA4603"/>
    <w:rsid w:val="7AF44D20"/>
    <w:rsid w:val="7B2D4678"/>
    <w:rsid w:val="7B4D48C8"/>
    <w:rsid w:val="7C077967"/>
    <w:rsid w:val="7D3A2221"/>
    <w:rsid w:val="7DAB5FC4"/>
    <w:rsid w:val="7DEB76A3"/>
    <w:rsid w:val="7E5C72B9"/>
    <w:rsid w:val="7F9B7B33"/>
    <w:rsid w:val="7FDE03E2"/>
    <w:rsid w:val="7FFD6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 w:type="paragraph" w:customStyle="1" w:styleId="13">
    <w:name w:val="_Style 8"/>
    <w:basedOn w:val="1"/>
    <w:next w:val="1"/>
    <w:qFormat/>
    <w:uiPriority w:val="0"/>
    <w:pPr>
      <w:pBdr>
        <w:bottom w:val="single" w:color="auto" w:sz="6" w:space="1"/>
      </w:pBdr>
      <w:jc w:val="center"/>
    </w:pPr>
    <w:rPr>
      <w:rFonts w:ascii="Arial" w:eastAsia="宋体"/>
      <w:vanish/>
      <w:sz w:val="16"/>
    </w:rPr>
  </w:style>
  <w:style w:type="paragraph" w:customStyle="1" w:styleId="14">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NUL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8.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2026-02-27T02:32:38Z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D95E75F797404868A06991E037936CC1</vt:lpwstr>
  </property>
</Properties>
</file>