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420" w:lineRule="atLeast"/>
        <w:ind w:left="0" w:right="0" w:firstLine="0"/>
        <w:jc w:val="left"/>
        <w:rPr>
          <w:rFonts w:ascii="宋体" w:hAnsi="宋体" w:eastAsia="宋体" w:cs="宋体"/>
          <w:sz w:val="24"/>
          <w:szCs w:val="24"/>
        </w:rPr>
      </w:pPr>
      <w:r>
        <w:rPr>
          <w:rFonts w:ascii="宋体" w:hAnsi="宋体" w:eastAsia="宋体" w:cs="宋体"/>
          <w:sz w:val="24"/>
          <w:szCs w:val="24"/>
        </w:rPr>
        <w:drawing>
          <wp:inline distT="0" distB="0" distL="114300" distR="114300">
            <wp:extent cx="304800" cy="304800"/>
            <wp:effectExtent l="0" t="0" r="0" b="0"/>
            <wp:docPr id="2"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IMG_256"/>
                    <pic:cNvPicPr>
                      <a:picLocks noChangeAspect="1"/>
                    </pic:cNvPicPr>
                  </pic:nvPicPr>
                  <pic:blipFill>
                    <a:blip r:embed="rId4"/>
                    <a:stretch>
                      <a:fillRect/>
                    </a:stretch>
                  </pic:blipFill>
                  <pic:spPr>
                    <a:xfrm>
                      <a:off x="0" y="0"/>
                      <a:ext cx="304800" cy="304800"/>
                    </a:xfrm>
                    <a:prstGeom prst="rect">
                      <a:avLst/>
                    </a:prstGeom>
                    <a:noFill/>
                    <a:ln w="9525">
                      <a:noFill/>
                    </a:ln>
                  </pic:spPr>
                </pic:pic>
              </a:graphicData>
            </a:graphic>
          </wp:inline>
        </w:drawing>
      </w:r>
      <w:r>
        <w:drawing>
          <wp:inline distT="0" distB="0" distL="114300" distR="114300">
            <wp:extent cx="5272405" cy="7849235"/>
            <wp:effectExtent l="0" t="0" r="4445" b="1841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tretch>
                      <a:fillRect/>
                    </a:stretch>
                  </pic:blipFill>
                  <pic:spPr>
                    <a:xfrm>
                      <a:off x="0" y="0"/>
                      <a:ext cx="5272405" cy="7849235"/>
                    </a:xfrm>
                    <a:prstGeom prst="rect">
                      <a:avLst/>
                    </a:prstGeom>
                    <a:noFill/>
                    <a:ln w="9525">
                      <a:noFill/>
                    </a:ln>
                  </pic:spPr>
                </pic:pic>
              </a:graphicData>
            </a:graphic>
          </wp:inline>
        </w:drawing>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420" w:lineRule="atLeast"/>
        <w:ind w:left="0" w:right="0" w:firstLine="0"/>
        <w:jc w:val="left"/>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bookmarkStart w:id="0" w:name="Pic"/>
      <w:bookmarkEnd w:id="0"/>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42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t>基本信息</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书名：</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碳达峰碳中和能源电力智库观察</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作者：</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begin"/>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instrText xml:space="preserve"> HYPERLINK "https://book.jd.com/writer/%E8%8B%B1%E5%A4%A7%E4%BC%A0%E5%AA%92%E6%8A%95%E8%B5%84%E9%9B%86%E5%9B%A2%E6%9C%89%E9%99%90%E5%85%AC%E5%8F%B8_1.html" \t "https://item.jd.com/_blank" </w:instrTex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separate"/>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英大传媒投资集团有限公司</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end"/>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著</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出版社：中国</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电力</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出版社</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出版日期：</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2023-06</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ISBN</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9787519866938</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页码：</w:t>
      </w:r>
      <w:r>
        <w:rPr>
          <w:rFonts w:hint="eastAsia" w:asciiTheme="minorEastAsia" w:hAnsiTheme="minorEastAsia" w:cstheme="minorEastAsia"/>
          <w:b w:val="0"/>
          <w:i w:val="0"/>
          <w:caps w:val="0"/>
          <w:color w:val="auto"/>
          <w:spacing w:val="0"/>
          <w:kern w:val="0"/>
          <w:sz w:val="24"/>
          <w:szCs w:val="24"/>
          <w:shd w:val="clear" w:fill="FFFFFF"/>
          <w:lang w:val="en-US" w:eastAsia="zh-CN" w:bidi="ar"/>
        </w:rPr>
        <w:t>279</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定价：</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128</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.00</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元</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装帧：</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平</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装</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开本：</w:t>
      </w:r>
      <w:r>
        <w:rPr>
          <w:rFonts w:hint="eastAsia" w:asciiTheme="minorEastAsia" w:hAnsiTheme="minorEastAsia" w:cstheme="minorEastAsia"/>
          <w:b w:val="0"/>
          <w:i w:val="0"/>
          <w:caps w:val="0"/>
          <w:color w:val="auto"/>
          <w:spacing w:val="0"/>
          <w:kern w:val="0"/>
          <w:sz w:val="24"/>
          <w:szCs w:val="24"/>
          <w:shd w:val="clear" w:fill="FFFFFF"/>
          <w:lang w:val="en-US" w:eastAsia="zh-CN" w:bidi="ar"/>
        </w:rPr>
        <w:t>16</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内容简介</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80" w:firstLineChars="20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cstheme="minorEastAsia"/>
          <w:b w:val="0"/>
          <w:i w:val="0"/>
          <w:caps w:val="0"/>
          <w:color w:val="auto"/>
          <w:spacing w:val="0"/>
          <w:kern w:val="0"/>
          <w:sz w:val="24"/>
          <w:szCs w:val="24"/>
          <w:shd w:val="clear" w:fill="FFFFFF"/>
          <w:lang w:val="en-US" w:eastAsia="zh-CN" w:bidi="ar"/>
        </w:rPr>
        <w:t xml:space="preserve">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本书共分为5章。第1章为电百视点，从传媒智库的视角梳理碳达峰碳中和目标发展脉络，分析国内外各行业的发展趋势。第2章为智库观察，为各领域专家就中国双碳政策、国外碳中和技术、双碳智库研究进展、中国ESG投资等进行专题介绍。第3章为实践案例，介绍了我国初见成效的应用案例。第4章为双碳大事记，包括政府要闻、行业动态、资本市场、学术交流、海外资讯、智库研究。第5章为媒体影响力榜单，总结2021年以来双碳领域影响力排名靠前的网站、公众号和视频号。</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  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前言</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电百视点</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1.1 “双碳”目标提出的背景、意义及实施路径 ………… 2</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1.2 “双碳”目标下的能源产业升级 …………………… 14</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1.3 “双碳”目标下的绿色金融 ………………………… 36</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1.4 国外“双碳”工作的经验与启示 ………………… 48</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智库观察</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2.1 碳中和，一场悄然兴起的经济社会大变革</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——中国“双碳”政策统述与解读 ……………… 60</w:t>
      </w:r>
    </w:p>
    <w:p>
      <w:pPr>
        <w:rPr>
          <w:rFonts w:hint="eastAsia" w:asciiTheme="minorEastAsia" w:hAnsiTheme="minorEastAsia" w:cstheme="minorEastAsia"/>
          <w:b w:val="0"/>
          <w:i w:val="0"/>
          <w:caps w:val="0"/>
          <w:color w:val="auto"/>
          <w:spacing w:val="0"/>
          <w:kern w:val="0"/>
          <w:sz w:val="24"/>
          <w:szCs w:val="24"/>
          <w:shd w:val="clear" w:fill="FFFFFF"/>
          <w:lang w:val="en-US" w:eastAsia="zh-CN" w:bidi="ar"/>
        </w:rPr>
      </w:pPr>
    </w:p>
    <w:p>
      <w:pPr>
        <w:rPr>
          <w:rFonts w:hint="eastAsia" w:asciiTheme="minorEastAsia" w:hAnsiTheme="minorEastAsia" w:cstheme="minorEastAsia"/>
          <w:b w:val="0"/>
          <w:i w:val="0"/>
          <w:caps w:val="0"/>
          <w:color w:val="auto"/>
          <w:spacing w:val="0"/>
          <w:kern w:val="0"/>
          <w:sz w:val="24"/>
          <w:szCs w:val="24"/>
          <w:shd w:val="clear" w:fill="FFFFFF"/>
          <w:lang w:val="en-US" w:eastAsia="zh-CN" w:bidi="ar"/>
        </w:rPr>
      </w:pPr>
    </w:p>
    <w:p>
      <w:pPr>
        <w:rPr>
          <w:rFonts w:hint="eastAsia" w:asciiTheme="minorEastAsia" w:hAnsiTheme="minorEastAsia" w:cstheme="minorEastAsia"/>
          <w:b w:val="0"/>
          <w:i w:val="0"/>
          <w:caps w:val="0"/>
          <w:color w:val="auto"/>
          <w:spacing w:val="0"/>
          <w:kern w:val="0"/>
          <w:sz w:val="24"/>
          <w:szCs w:val="24"/>
          <w:shd w:val="clear" w:fill="FFFFFF"/>
          <w:lang w:val="en-US" w:eastAsia="zh-CN" w:bidi="ar"/>
        </w:rPr>
      </w:pPr>
    </w:p>
    <w:p>
      <w:pPr>
        <w:rPr>
          <w:rFonts w:hint="eastAsia" w:asciiTheme="minorEastAsia" w:hAnsiTheme="minorEastAsia" w:cstheme="minorEastAsia"/>
          <w:b w:val="0"/>
          <w:i w:val="0"/>
          <w:caps w:val="0"/>
          <w:color w:val="auto"/>
          <w:spacing w:val="0"/>
          <w:kern w:val="0"/>
          <w:sz w:val="24"/>
          <w:szCs w:val="24"/>
          <w:shd w:val="clear" w:fill="FFFFFF"/>
          <w:lang w:val="en-US" w:eastAsia="zh-CN" w:bidi="ar"/>
        </w:rPr>
      </w:pPr>
    </w:p>
    <w:p>
      <w:pPr>
        <w:rPr>
          <w:rFonts w:hint="eastAsia" w:asciiTheme="minorEastAsia" w:hAnsiTheme="minorEastAsia" w:cstheme="minorEastAsia"/>
          <w:b w:val="0"/>
          <w:i w:val="0"/>
          <w:caps w:val="0"/>
          <w:color w:val="auto"/>
          <w:spacing w:val="0"/>
          <w:kern w:val="0"/>
          <w:sz w:val="24"/>
          <w:szCs w:val="24"/>
          <w:shd w:val="clear" w:fill="FFFFFF"/>
          <w:lang w:val="en-US" w:eastAsia="zh-CN" w:bidi="ar"/>
        </w:rPr>
      </w:pPr>
    </w:p>
    <w:p>
      <w:pPr>
        <w:rPr>
          <w:rFonts w:hint="eastAsia" w:asciiTheme="minorEastAsia" w:hAnsiTheme="minorEastAsia" w:cstheme="minorEastAsia"/>
          <w:b w:val="0"/>
          <w:i w:val="0"/>
          <w:caps w:val="0"/>
          <w:color w:val="auto"/>
          <w:spacing w:val="0"/>
          <w:kern w:val="0"/>
          <w:sz w:val="24"/>
          <w:szCs w:val="24"/>
          <w:shd w:val="clear" w:fill="FFFFFF"/>
          <w:lang w:val="en-US" w:eastAsia="zh-CN" w:bidi="ar"/>
        </w:rPr>
      </w:pPr>
    </w:p>
    <w:p>
      <w:pPr>
        <w:rPr>
          <w:rFonts w:hint="eastAsia" w:asciiTheme="minorEastAsia" w:hAnsiTheme="minorEastAsia" w:cstheme="minorEastAsia"/>
          <w:b w:val="0"/>
          <w:i w:val="0"/>
          <w:caps w:val="0"/>
          <w:color w:val="auto"/>
          <w:spacing w:val="0"/>
          <w:kern w:val="0"/>
          <w:sz w:val="24"/>
          <w:szCs w:val="24"/>
          <w:shd w:val="clear" w:fill="FFFFFF"/>
          <w:lang w:val="en-US" w:eastAsia="zh-CN" w:bidi="ar"/>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r>
        <w:drawing>
          <wp:inline distT="0" distB="0" distL="114300" distR="114300">
            <wp:extent cx="5272405" cy="8105775"/>
            <wp:effectExtent l="0" t="0" r="4445" b="9525"/>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6"/>
                    <a:stretch>
                      <a:fillRect/>
                    </a:stretch>
                  </pic:blipFill>
                  <pic:spPr>
                    <a:xfrm>
                      <a:off x="0" y="0"/>
                      <a:ext cx="5272405" cy="8105775"/>
                    </a:xfrm>
                    <a:prstGeom prst="rect">
                      <a:avLst/>
                    </a:prstGeom>
                    <a:noFill/>
                    <a:ln w="9525">
                      <a:noFill/>
                    </a:ln>
                  </pic:spPr>
                </pic:pic>
              </a:graphicData>
            </a:graphic>
          </wp:inline>
        </w:drawing>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t>基本信息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6" w:lineRule="atLeast"/>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书名：</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碳达峰碳中和</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目标挑战与实现路径</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作者：</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吴冰 主编</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出版社：</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begin"/>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instrText xml:space="preserve"> HYPERLINK "https://book.jd.com/publish/%E8%AF%91%E6%9E%97%E5%87%BA%E7%89%88%E7%A4%BE_1.html" \o "译林出版社" \t "https://item.jd.com/_blank" </w:instrTex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separate"/>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出版社</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end"/>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出版日期：</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2023-02</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ISBN：9787520725712</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页码：</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309</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定价：</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68</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00</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装帧：</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平装</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开本：</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16</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内容简介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cstheme="minorEastAsia"/>
          <w:b w:val="0"/>
          <w:i w:val="0"/>
          <w:caps w:val="0"/>
          <w:color w:val="auto"/>
          <w:spacing w:val="0"/>
          <w:kern w:val="0"/>
          <w:sz w:val="24"/>
          <w:szCs w:val="24"/>
          <w:shd w:val="clear" w:fill="FFFFFF"/>
          <w:lang w:val="en-US" w:eastAsia="zh-CN" w:bidi="ar"/>
        </w:rPr>
        <w:t xml:space="preserve">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本书立足低碳发展、聚焦经济政策、展望未来趋势，全景式呈现我国实现碳达峰碳中和战略目标的有效路径和具体措施，聚焦健全绿色低碳循环发展三大体系、加快基础设施绿色升级、构建绿色技术创新体系等热点问题。全书系统梳理碳达峰碳中和宏观政策最新动态，深入解读实现碳达峰碳中和重点问题和难点领域，清晰解答社会各界关于碳达峰碳中和的关注焦点，兼具科学性和前瞻性，对党员干部、各级政府、行业企业以及大众读者深入认识和理解实现碳达峰碳中和战略目标的重大意义，有序推进碳达峰碳中和工作，落实碳达峰行动方案，推进能源低碳转型，推动能耗“双控”向碳排放总量和强度“双控”转变，加快形成绿色生产生活方式，具有重要学习参考价值。</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w:t>
      </w:r>
      <w:r>
        <w:rPr>
          <w:rFonts w:hint="eastAsia" w:asciiTheme="minorEastAsia" w:hAnsiTheme="minorEastAsia" w:cstheme="minorEastAsia"/>
          <w:b/>
          <w:bCs/>
          <w:i w:val="0"/>
          <w:caps w:val="0"/>
          <w:color w:val="auto"/>
          <w:spacing w:val="0"/>
          <w:kern w:val="0"/>
          <w:sz w:val="32"/>
          <w:szCs w:val="32"/>
          <w:shd w:val="clear" w:fill="FFFFFF"/>
          <w:lang w:val="en-US" w:eastAsia="zh-CN" w:bidi="ar"/>
        </w:rPr>
        <w:t xml:space="preserve">  </w:t>
      </w: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录</w:t>
      </w:r>
    </w:p>
    <w:p>
      <w:pPr>
        <w:ind w:firstLine="480" w:firstLineChars="20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 碳达峰、碳中和目标的提出及其重要意义</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 第一节 何谓碳达峰？何谓碳中和？</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 第二节 “双碳”目标的提出背景</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 第三节 参与全球治理和推动构建人类命运共同体的大国担当</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 第四节 推动高质量发展的必然要求</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 “双碳”目标的内涵及实现的基础</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黑体" w:hAnsi="宋体" w:eastAsia="黑体" w:cs="黑体"/>
          <w:i w:val="0"/>
          <w:caps w:val="0"/>
          <w:color w:val="757575"/>
          <w:spacing w:val="0"/>
          <w:sz w:val="36"/>
          <w:szCs w:val="36"/>
          <w:bdr w:val="none" w:color="auto" w:sz="0" w:space="0"/>
          <w:shd w:val="clear" w:fill="FFFFFF"/>
        </w:rPr>
        <w:t>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第一节 “双碳”目标的内涵</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ascii="宋体" w:hAnsi="宋体" w:eastAsia="宋体" w:cs="宋体"/>
          <w:sz w:val="24"/>
          <w:szCs w:val="24"/>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ascii="宋体" w:hAnsi="宋体" w:eastAsia="宋体" w:cs="宋体"/>
          <w:sz w:val="24"/>
          <w:szCs w:val="24"/>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ascii="宋体" w:hAnsi="宋体" w:eastAsia="宋体" w:cs="宋体"/>
          <w:sz w:val="24"/>
          <w:szCs w:val="24"/>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r>
        <w:drawing>
          <wp:inline distT="0" distB="0" distL="114300" distR="114300">
            <wp:extent cx="5272405" cy="7439025"/>
            <wp:effectExtent l="0" t="0" r="4445" b="9525"/>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7"/>
                    <a:stretch>
                      <a:fillRect/>
                    </a:stretch>
                  </pic:blipFill>
                  <pic:spPr>
                    <a:xfrm>
                      <a:off x="0" y="0"/>
                      <a:ext cx="5272405" cy="7439025"/>
                    </a:xfrm>
                    <a:prstGeom prst="rect">
                      <a:avLst/>
                    </a:prstGeom>
                    <a:noFill/>
                    <a:ln w="9525">
                      <a:noFill/>
                    </a:ln>
                  </pic:spPr>
                </pic:pic>
              </a:graphicData>
            </a:graphic>
          </wp:inline>
        </w:drawing>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t>基本信息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default" w:asciiTheme="minorHAnsi" w:hAnsiTheme="minorHAnsi" w:eastAsiaTheme="minorEastAsia" w:cstheme="minorBidi"/>
          <w:b w:val="0"/>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书名：</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能源电力碳达峰碳中和实践路径</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作者：</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赵亮</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  </w:t>
      </w:r>
      <w:r>
        <w:rPr>
          <w:rFonts w:hint="eastAsia" w:asciiTheme="minorEastAsia" w:hAnsiTheme="minorEastAsia" w:cstheme="minorEastAsia"/>
          <w:b w:val="0"/>
          <w:i w:val="0"/>
          <w:caps w:val="0"/>
          <w:color w:val="auto"/>
          <w:spacing w:val="0"/>
          <w:kern w:val="0"/>
          <w:sz w:val="24"/>
          <w:szCs w:val="24"/>
          <w:shd w:val="clear" w:fill="FFFFFF"/>
          <w:lang w:val="en-US" w:eastAsia="zh-CN" w:bidi="ar"/>
        </w:rPr>
        <w:t>主</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编</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出版社：</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中国电力</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出版社</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出版日期：</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2023-3</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ISBN：9787519875954</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页码：</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361</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定价：</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7</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5</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00</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装帧：</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平装</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开本：</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16</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内容简介</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cstheme="minorEastAsia"/>
          <w:b w:val="0"/>
          <w:i w:val="0"/>
          <w:caps w:val="0"/>
          <w:color w:val="auto"/>
          <w:spacing w:val="0"/>
          <w:kern w:val="0"/>
          <w:sz w:val="24"/>
          <w:szCs w:val="24"/>
          <w:shd w:val="clear" w:fill="FFFFFF"/>
          <w:lang w:val="en-US" w:eastAsia="zh-CN" w:bidi="ar"/>
        </w:rPr>
        <w:t xml:space="preserve">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本书围绕“双碳”目标落地，以能源清洁低碳转型和新型电力系统构建为主线，结合国网天津市电力公司近年来的实践探索，总结在助力城市低碳转型过程中的典型做法和可复制经验，提出了推进能源电力“双碳”目标落地的实践路径和工程示范。</w:t>
      </w:r>
      <w:r>
        <w:rPr>
          <w:rFonts w:hint="eastAsia" w:asciiTheme="minorEastAsia" w:hAnsiTheme="minorEastAsia" w:cstheme="minorEastAsia"/>
          <w:b w:val="0"/>
          <w:i w:val="0"/>
          <w:caps w:val="0"/>
          <w:color w:val="auto"/>
          <w:spacing w:val="0"/>
          <w:kern w:val="0"/>
          <w:sz w:val="24"/>
          <w:szCs w:val="24"/>
          <w:shd w:val="clear" w:fill="FFFFFF"/>
          <w:lang w:val="en-US" w:eastAsia="zh-CN" w:bidi="ar"/>
        </w:rPr>
        <w:t xml:space="preserve">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本书可供各地电网企业、政府主管部门、相关企业、行业协会的专业人员以及广大的能源电力领域实践者阅读参考。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w:t>
      </w:r>
      <w:r>
        <w:rPr>
          <w:rFonts w:hint="eastAsia" w:asciiTheme="minorEastAsia" w:hAnsiTheme="minorEastAsia" w:cstheme="minorEastAsia"/>
          <w:b/>
          <w:bCs/>
          <w:i w:val="0"/>
          <w:caps w:val="0"/>
          <w:color w:val="auto"/>
          <w:spacing w:val="0"/>
          <w:kern w:val="0"/>
          <w:sz w:val="32"/>
          <w:szCs w:val="32"/>
          <w:shd w:val="clear" w:fill="FFFFFF"/>
          <w:lang w:val="en-US" w:eastAsia="zh-CN" w:bidi="ar"/>
        </w:rPr>
        <w:t xml:space="preserve">  </w:t>
      </w: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录</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序</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前言</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第一章　碳达峰碳中和与能源电力发展 1</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第一节　气候变化与减碳愿景 1</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第二节　中国碳达峰碳中和的挑战与机遇 11</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第三节　能源电力发展趋势 24</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第四节　“双碳”目标下中国能源电力发展形势 42</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第二章　能源电力碳达峰碳中和路径 46</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第一节　建设新型能源体系 46</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第二节　构建新型电力系统 52</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第三节　能源电力“双碳”目标实践路径探索 58</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第三章　能源清洁化供给 64</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drawing>
          <wp:inline distT="0" distB="0" distL="114300" distR="114300">
            <wp:extent cx="5272405" cy="7902575"/>
            <wp:effectExtent l="0" t="0" r="4445" b="3175"/>
            <wp:docPr id="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pic:cNvPicPr>
                      <a:picLocks noChangeAspect="1"/>
                    </pic:cNvPicPr>
                  </pic:nvPicPr>
                  <pic:blipFill>
                    <a:blip r:embed="rId8"/>
                    <a:stretch>
                      <a:fillRect/>
                    </a:stretch>
                  </pic:blipFill>
                  <pic:spPr>
                    <a:xfrm>
                      <a:off x="0" y="0"/>
                      <a:ext cx="5272405" cy="7902575"/>
                    </a:xfrm>
                    <a:prstGeom prst="rect">
                      <a:avLst/>
                    </a:prstGeom>
                    <a:noFill/>
                    <a:ln w="9525">
                      <a:noFill/>
                    </a:ln>
                  </pic:spPr>
                </pic:pic>
              </a:graphicData>
            </a:graphic>
          </wp:inline>
        </w:drawing>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基本信息</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书名：人人参与碳中和 新型电力系统下的电力需求侧响应</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作者： 国网北京市电力公司电力科学研究院 编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出版社：</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begin"/>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instrText xml:space="preserve"> HYPERLINK "https://book.jd.com/publish/%E4%B8%8A%E6%B5%B7%E4%BA%BA%E6%B0%91%E7%BE%8E%E6%9C%AF%E5%87%BA%E7%89%88%E7%A4%BE_1.html" \o "上海人民美术出版社" \t "https://item.jd.com/_blank" </w:instrTex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separate"/>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中国电力</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出版社</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fldChar w:fldCharType="end"/>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出版日期：</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2023-04</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ISBN：9787519873943</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页码：</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138</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定价：</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58.00</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元</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装帧：</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平</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装</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开本：</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16</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开</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内容介绍</w:t>
      </w:r>
    </w:p>
    <w:p>
      <w:pPr>
        <w:pStyle w:val="5"/>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Chars="0" w:right="0" w:rightChars="0" w:firstLine="480" w:firstLineChars="200"/>
        <w:rPr>
          <w:rFonts w:hint="eastAsia" w:asciiTheme="minorHAnsi" w:hAnsiTheme="minorHAnsi" w:eastAsiaTheme="minorEastAsia" w:cstheme="minorBidi"/>
          <w:b w:val="0"/>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cstheme="minorEastAsia"/>
          <w:b w:val="0"/>
          <w:i w:val="0"/>
          <w:caps w:val="0"/>
          <w:color w:val="auto"/>
          <w:spacing w:val="0"/>
          <w:kern w:val="0"/>
          <w:sz w:val="24"/>
          <w:szCs w:val="24"/>
          <w:shd w:val="clear" w:fill="FFFFFF"/>
          <w:lang w:val="en-US" w:eastAsia="zh-CN" w:bidi="ar"/>
        </w:rPr>
        <w:t xml:space="preserve">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《人人参与碳中和 新型电力系统下的电力需求侧响应》共设置了11部分内容，包括“双碳”目标与新型电力系统，从需求侧管理到需求侧响应，电力需求侧响应主体，电力需求侧响应技术、设备与平台，电力需求侧响应基本流程，电力需求响应试点案例，虚拟电厂，智能楼宇，电动汽车有序充电，家庭智能用电，电力需求响应的未来。每章根据不同内容设置了“小资料”和案例，进一步促进大家对内容的深入了解。 《人人参与碳中和 新型电力系统下的电力需求侧响应》可为广大电力从业人员、电力科技爱好者以及对“双碳”目标和能源互联网建设背景下电力需求侧响应的新技术、新方法及其应用场景有兴趣的读者学习使用。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目录</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序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前言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“双碳”目标与新型电力系统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认识“碳达峰、碳中和”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1．什么是“碳达峰、碳中和”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2．我国碳中和的总体规划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新型电力系统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1．新型电力系统的提出</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2．什么是新型电力系统  </w:t>
      </w:r>
      <w:r>
        <w:rPr>
          <w:rFonts w:hint="default" w:ascii="pingfangSC" w:hAnsi="pingfangSC" w:eastAsia="pingfangSC" w:cs="pingfangSC"/>
          <w:i w:val="0"/>
          <w:caps w:val="0"/>
          <w:color w:val="757575"/>
          <w:spacing w:val="0"/>
          <w:sz w:val="27"/>
          <w:szCs w:val="27"/>
          <w:shd w:val="clear" w:fill="FFFFFF"/>
        </w:rPr>
        <w:t xml:space="preserve">  </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firstLine="480" w:firstLineChars="200"/>
        <w:jc w:val="left"/>
        <w:rPr>
          <w:rFonts w:hint="eastAsia" w:asciiTheme="minorHAnsi" w:hAnsiTheme="minorHAnsi" w:eastAsiaTheme="minorEastAsia" w:cstheme="minorBidi"/>
          <w:b w:val="0"/>
          <w:kern w:val="0"/>
          <w:sz w:val="24"/>
          <w:szCs w:val="24"/>
          <w:lang w:val="en-US" w:eastAsia="zh-CN" w:bidi="ar"/>
        </w:rPr>
      </w:pP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ind w:left="-360" w:leftChars="0" w:right="0" w:rightChars="0" w:firstLine="480" w:firstLineChars="200"/>
        <w:textAlignment w:val="top"/>
        <w:rPr>
          <w:rFonts w:hint="eastAsia" w:asciiTheme="minorHAnsi" w:hAnsiTheme="minorHAnsi" w:eastAsiaTheme="minorEastAsia" w:cstheme="minorBidi"/>
          <w:b w:val="0"/>
          <w:kern w:val="0"/>
          <w:sz w:val="24"/>
          <w:szCs w:val="24"/>
          <w:lang w:val="en-US" w:eastAsia="zh-CN" w:bidi="ar"/>
        </w:rPr>
      </w:pP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val="0"/>
        <w:spacing w:before="0" w:beforeAutospacing="0" w:after="0" w:afterAutospacing="0"/>
        <w:ind w:right="0" w:rightChars="0"/>
        <w:textAlignment w:val="top"/>
        <w:outlineLvl w:val="9"/>
        <w:rPr>
          <w:rFonts w:hint="eastAsia" w:ascii="宋体" w:hAnsi="宋体" w:eastAsia="宋体" w:cs="宋体"/>
          <w:sz w:val="24"/>
          <w:szCs w:val="24"/>
          <w:lang w:val="en-US" w:eastAsia="zh-CN"/>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drawing>
          <wp:inline distT="0" distB="0" distL="114300" distR="114300">
            <wp:extent cx="5272405" cy="7593965"/>
            <wp:effectExtent l="0" t="0" r="4445" b="6985"/>
            <wp:docPr id="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pic:cNvPicPr>
                      <a:picLocks noChangeAspect="1"/>
                    </pic:cNvPicPr>
                  </pic:nvPicPr>
                  <pic:blipFill>
                    <a:blip r:embed="rId9"/>
                    <a:stretch>
                      <a:fillRect/>
                    </a:stretch>
                  </pic:blipFill>
                  <pic:spPr>
                    <a:xfrm>
                      <a:off x="0" y="0"/>
                      <a:ext cx="5272405" cy="7593965"/>
                    </a:xfrm>
                    <a:prstGeom prst="rect">
                      <a:avLst/>
                    </a:prstGeom>
                    <a:noFill/>
                    <a:ln w="9525">
                      <a:noFill/>
                    </a:ln>
                  </pic:spPr>
                </pic:pic>
              </a:graphicData>
            </a:graphic>
          </wp:inline>
        </w:drawing>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cstheme="minorEastAsia"/>
          <w:b/>
          <w:bCs/>
          <w:i w:val="0"/>
          <w:caps w:val="0"/>
          <w:color w:val="auto"/>
          <w:spacing w:val="0"/>
          <w:kern w:val="0"/>
          <w:sz w:val="32"/>
          <w:szCs w:val="32"/>
          <w:shd w:val="clear" w:fill="FFFFFF"/>
          <w:lang w:val="en-US" w:eastAsia="zh-CN" w:bidi="ar"/>
        </w:rPr>
        <w:t>基本信息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EastAsia" w:hAnsiTheme="minorEastAsia" w:cstheme="minorEastAsia"/>
          <w:b w:val="0"/>
          <w:i w:val="0"/>
          <w:caps w:val="0"/>
          <w:color w:val="0000FF"/>
          <w:spacing w:val="0"/>
          <w:kern w:val="0"/>
          <w:sz w:val="24"/>
          <w:szCs w:val="24"/>
          <w:shd w:val="clear" w:fill="FFFFFF"/>
          <w:lang w:val="en-US" w:eastAsia="zh-CN" w:bidi="ar"/>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default" w:asciiTheme="minorHAnsi" w:hAnsiTheme="minorHAnsi" w:eastAsiaTheme="minorEastAsia" w:cstheme="minorBidi"/>
          <w:b w:val="0"/>
          <w:kern w:val="0"/>
          <w:sz w:val="24"/>
          <w:szCs w:val="24"/>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书</w:t>
      </w:r>
      <w:r>
        <w:rPr>
          <w:rFonts w:hint="default" w:asciiTheme="minorHAnsi" w:hAnsiTheme="minorHAnsi" w:eastAsiaTheme="minorEastAsia" w:cstheme="minorBidi"/>
          <w:b w:val="0"/>
          <w:kern w:val="0"/>
          <w:sz w:val="24"/>
          <w:szCs w:val="24"/>
          <w:lang w:val="en-US" w:eastAsia="zh-CN" w:bidi="ar"/>
        </w:rPr>
        <w:t>名：</w:t>
      </w:r>
      <w:r>
        <w:rPr>
          <w:rFonts w:hint="eastAsia" w:asciiTheme="minorHAnsi" w:hAnsiTheme="minorHAnsi" w:eastAsiaTheme="minorEastAsia" w:cstheme="minorBidi"/>
          <w:b w:val="0"/>
          <w:kern w:val="0"/>
          <w:sz w:val="24"/>
          <w:szCs w:val="24"/>
          <w:lang w:val="en-US" w:eastAsia="zh-CN" w:bidi="ar"/>
        </w:rPr>
        <w:t>双碳与生活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作者：</w:t>
      </w:r>
      <w:r>
        <w:rPr>
          <w:rFonts w:hint="eastAsia" w:asciiTheme="minorHAnsi" w:hAnsiTheme="minorHAnsi" w:eastAsiaTheme="minorEastAsia" w:cstheme="minorBidi"/>
          <w:b w:val="0"/>
          <w:kern w:val="0"/>
          <w:sz w:val="24"/>
          <w:szCs w:val="24"/>
          <w:lang w:val="en-US" w:eastAsia="zh-CN" w:bidi="ar"/>
        </w:rPr>
        <w:t>干勤  等编</w:t>
      </w:r>
      <w:r>
        <w:rPr>
          <w:rFonts w:hint="default" w:asciiTheme="minorHAnsi" w:hAnsiTheme="minorHAnsi" w:eastAsiaTheme="minorEastAsia" w:cstheme="minorBidi"/>
          <w:b w:val="0"/>
          <w:kern w:val="0"/>
          <w:sz w:val="24"/>
          <w:szCs w:val="24"/>
          <w:lang w:val="en-US" w:eastAsia="zh-CN" w:bidi="ar"/>
        </w:rPr>
        <w:t>著</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出版社：</w:t>
      </w:r>
      <w:r>
        <w:rPr>
          <w:rFonts w:hint="eastAsia" w:asciiTheme="minorHAnsi" w:hAnsiTheme="minorHAnsi" w:eastAsiaTheme="minorEastAsia" w:cstheme="minorBidi"/>
          <w:b w:val="0"/>
          <w:kern w:val="0"/>
          <w:sz w:val="24"/>
          <w:szCs w:val="24"/>
          <w:lang w:val="en-US" w:eastAsia="zh-CN" w:bidi="ar"/>
        </w:rPr>
        <w:t>重庆大学出版社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eastAsia"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出版日期：</w:t>
      </w:r>
      <w:r>
        <w:rPr>
          <w:rFonts w:hint="eastAsia" w:asciiTheme="minorHAnsi" w:hAnsiTheme="minorHAnsi" w:eastAsiaTheme="minorEastAsia" w:cstheme="minorBidi"/>
          <w:b w:val="0"/>
          <w:kern w:val="0"/>
          <w:sz w:val="24"/>
          <w:szCs w:val="24"/>
          <w:lang w:val="en-US" w:eastAsia="zh-CN" w:bidi="ar"/>
        </w:rPr>
        <w:t>2023-01</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ISBN：</w:t>
      </w:r>
      <w:r>
        <w:rPr>
          <w:rFonts w:hint="eastAsia" w:asciiTheme="minorHAnsi" w:hAnsiTheme="minorHAnsi" w:eastAsiaTheme="minorEastAsia" w:cstheme="minorBidi"/>
          <w:b w:val="0"/>
          <w:kern w:val="0"/>
          <w:sz w:val="24"/>
          <w:szCs w:val="24"/>
          <w:lang w:val="en-US" w:eastAsia="zh-CN" w:bidi="ar"/>
        </w:rPr>
        <w:t>9787568934558</w:t>
      </w:r>
      <w:r>
        <w:rPr>
          <w:rFonts w:hint="default" w:asciiTheme="minorHAnsi" w:hAnsiTheme="minorHAnsi" w:eastAsiaTheme="minorEastAsia" w:cstheme="minorBidi"/>
          <w:b w:val="0"/>
          <w:kern w:val="0"/>
          <w:sz w:val="24"/>
          <w:szCs w:val="24"/>
          <w:lang w:val="en-US" w:eastAsia="zh-CN" w:bidi="ar"/>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页码：</w:t>
      </w:r>
      <w:r>
        <w:rPr>
          <w:rFonts w:hint="eastAsia" w:asciiTheme="minorHAnsi" w:hAnsiTheme="minorHAnsi" w:eastAsiaTheme="minorEastAsia" w:cstheme="minorBidi"/>
          <w:b w:val="0"/>
          <w:kern w:val="0"/>
          <w:sz w:val="24"/>
          <w:szCs w:val="24"/>
          <w:lang w:val="en-US" w:eastAsia="zh-CN" w:bidi="ar"/>
        </w:rPr>
        <w:t>192</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定价：</w:t>
      </w:r>
      <w:r>
        <w:rPr>
          <w:rFonts w:hint="eastAsia" w:asciiTheme="minorHAnsi" w:hAnsiTheme="minorHAnsi" w:eastAsiaTheme="minorEastAsia" w:cstheme="minorBidi"/>
          <w:b w:val="0"/>
          <w:kern w:val="0"/>
          <w:sz w:val="24"/>
          <w:szCs w:val="24"/>
          <w:lang w:val="en-US" w:eastAsia="zh-CN" w:bidi="ar"/>
        </w:rPr>
        <w:t>39.00</w:t>
      </w:r>
      <w:r>
        <w:rPr>
          <w:rFonts w:hint="default" w:asciiTheme="minorHAnsi" w:hAnsiTheme="minorHAnsi" w:eastAsiaTheme="minorEastAsia" w:cstheme="minorBidi"/>
          <w:b w:val="0"/>
          <w:kern w:val="0"/>
          <w:sz w:val="24"/>
          <w:szCs w:val="24"/>
          <w:lang w:val="en-US" w:eastAsia="zh-CN" w:bidi="ar"/>
        </w:rPr>
        <w:t>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装帧：</w:t>
      </w:r>
      <w:r>
        <w:rPr>
          <w:rFonts w:hint="eastAsia" w:asciiTheme="minorHAnsi" w:hAnsiTheme="minorHAnsi" w:eastAsiaTheme="minorEastAsia" w:cstheme="minorBidi"/>
          <w:b w:val="0"/>
          <w:kern w:val="0"/>
          <w:sz w:val="24"/>
          <w:szCs w:val="24"/>
          <w:lang w:val="en-US" w:eastAsia="zh-CN" w:bidi="ar"/>
        </w:rPr>
        <w:t>平</w:t>
      </w:r>
      <w:r>
        <w:rPr>
          <w:rFonts w:hint="default" w:asciiTheme="minorHAnsi" w:hAnsiTheme="minorHAnsi" w:eastAsiaTheme="minorEastAsia" w:cstheme="minorBidi"/>
          <w:b w:val="0"/>
          <w:kern w:val="0"/>
          <w:sz w:val="24"/>
          <w:szCs w:val="24"/>
          <w:lang w:val="en-US" w:eastAsia="zh-CN" w:bidi="ar"/>
        </w:rPr>
        <w:t>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default" w:asciiTheme="minorHAnsi" w:hAnsiTheme="minorHAnsi" w:eastAsiaTheme="minorEastAsia" w:cstheme="minorBidi"/>
          <w:b w:val="0"/>
          <w:kern w:val="0"/>
          <w:sz w:val="24"/>
          <w:szCs w:val="24"/>
          <w:lang w:val="en-US" w:eastAsia="zh-CN" w:bidi="ar"/>
        </w:rPr>
      </w:pPr>
      <w:r>
        <w:rPr>
          <w:rFonts w:hint="default" w:asciiTheme="minorHAnsi" w:hAnsiTheme="minorHAnsi" w:eastAsiaTheme="minorEastAsia" w:cstheme="minorBidi"/>
          <w:b w:val="0"/>
          <w:kern w:val="0"/>
          <w:sz w:val="24"/>
          <w:szCs w:val="24"/>
          <w:lang w:val="en-US" w:eastAsia="zh-CN" w:bidi="ar"/>
        </w:rPr>
        <w:t>开本：</w:t>
      </w:r>
      <w:r>
        <w:rPr>
          <w:rFonts w:hint="eastAsia" w:asciiTheme="minorHAnsi" w:hAnsiTheme="minorHAnsi" w:eastAsiaTheme="minorEastAsia" w:cstheme="minorBidi"/>
          <w:b w:val="0"/>
          <w:kern w:val="0"/>
          <w:sz w:val="24"/>
          <w:szCs w:val="24"/>
          <w:lang w:val="en-US" w:eastAsia="zh-CN" w:bidi="ar"/>
        </w:rPr>
        <w:t>16</w:t>
      </w:r>
      <w:r>
        <w:rPr>
          <w:rFonts w:hint="default" w:asciiTheme="minorHAnsi" w:hAnsiTheme="minorHAnsi" w:eastAsiaTheme="minorEastAsia" w:cstheme="minorBidi"/>
          <w:b w:val="0"/>
          <w:kern w:val="0"/>
          <w:sz w:val="24"/>
          <w:szCs w:val="24"/>
          <w:lang w:val="en-US" w:eastAsia="zh-CN" w:bidi="ar"/>
        </w:rPr>
        <w:t>开</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HAnsi" w:hAnsiTheme="minorHAnsi" w:eastAsiaTheme="minorEastAsia" w:cstheme="minorBidi"/>
          <w:b w:val="0"/>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both"/>
        <w:rPr>
          <w:rFonts w:hint="eastAsia" w:asciiTheme="minorHAnsi" w:hAnsiTheme="minorHAnsi" w:eastAsiaTheme="minorEastAsia" w:cstheme="minorBidi"/>
          <w:b w:val="0"/>
          <w:kern w:val="0"/>
          <w:sz w:val="24"/>
          <w:szCs w:val="24"/>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cstheme="minorEastAsia"/>
          <w:b/>
          <w:bCs/>
          <w:i w:val="0"/>
          <w:caps w:val="0"/>
          <w:color w:val="auto"/>
          <w:spacing w:val="0"/>
          <w:kern w:val="0"/>
          <w:sz w:val="32"/>
          <w:szCs w:val="32"/>
          <w:shd w:val="clear" w:fill="FFFFFF"/>
          <w:lang w:val="en-US" w:eastAsia="zh-CN" w:bidi="ar"/>
        </w:rPr>
        <w:t>内容介绍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eastAsia" w:asciiTheme="minorHAnsi" w:hAnsiTheme="minorHAnsi" w:eastAsiaTheme="minorEastAsia" w:cstheme="minorBidi"/>
          <w:b w:val="0"/>
          <w:kern w:val="0"/>
          <w:sz w:val="24"/>
          <w:szCs w:val="24"/>
          <w:lang w:val="en-US" w:eastAsia="zh-CN" w:bidi="ar"/>
        </w:rPr>
      </w:pPr>
      <w:r>
        <w:rPr>
          <w:rFonts w:hint="eastAsia" w:asciiTheme="minorHAnsi" w:hAnsiTheme="minorHAnsi" w:eastAsiaTheme="minorEastAsia" w:cstheme="minorBidi"/>
          <w:b w:val="0"/>
          <w:kern w:val="0"/>
          <w:sz w:val="24"/>
          <w:szCs w:val="24"/>
          <w:lang w:val="en-US" w:eastAsia="zh-CN" w:bidi="ar"/>
        </w:rPr>
        <w:t xml:space="preserve">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HAnsi" w:hAnsiTheme="minorHAnsi" w:eastAsiaTheme="minorEastAsia" w:cstheme="minorBidi"/>
          <w:b w:val="0"/>
          <w:kern w:val="0"/>
          <w:sz w:val="24"/>
          <w:szCs w:val="24"/>
          <w:lang w:val="en-US" w:eastAsia="zh-CN" w:bidi="ar"/>
        </w:rPr>
        <w:t xml:space="preserve">    </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碳造就了地球的生命基础，也是人类文明的重要元素，从远古的普通燃料到的石墨烯技术，没有碳，就没有的文明。然而，这造就我们文明的元素，却也威胁着我们的生存。本书从气候变暖的历史背景和国际气候谈程出发，结合现行的国家政策、行业现状，对“双碳”的理论、路径及实践行了系统阐述。全书分为6个部分括绪论、双碳与日常生活、双碳与行业生产、碳中和技术、双碳与经济治理、双碳与社会治理，并给出了大量的案例，引导读者了解“碳达峰、碳中和”在经济社会中的重要作用，提高对双碳的认识，为实现“双碳”目标贡献力量。</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cstheme="minorEastAsia"/>
          <w:b/>
          <w:bCs/>
          <w:i w:val="0"/>
          <w:caps w:val="0"/>
          <w:color w:val="auto"/>
          <w:spacing w:val="0"/>
          <w:kern w:val="0"/>
          <w:sz w:val="32"/>
          <w:szCs w:val="32"/>
          <w:shd w:val="clear" w:fill="FFFFFF"/>
          <w:lang w:val="en-US" w:eastAsia="zh-CN" w:bidi="ar"/>
        </w:rPr>
        <w:t>目录</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default" w:asciiTheme="minorHAnsi" w:hAnsiTheme="minorHAnsi" w:eastAsiaTheme="minorEastAsia" w:cstheme="minorBidi"/>
          <w:b w:val="0"/>
          <w:kern w:val="0"/>
          <w:sz w:val="24"/>
          <w:szCs w:val="24"/>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1双碳与人类命运</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1.1双碳的基本概念</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1.1.1碳及碳作用</w:t>
      </w:r>
      <w:r>
        <w:rPr>
          <w:rFonts w:hint="default" w:ascii="pingfangSC" w:hAnsi="pingfangSC" w:eastAsia="pingfangSC" w:cs="pingfangSC"/>
          <w:i w:val="0"/>
          <w:caps w:val="0"/>
          <w:color w:val="666666"/>
          <w:spacing w:val="0"/>
          <w:sz w:val="24"/>
          <w:szCs w:val="24"/>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1.1.2碳污染与气候危机</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1.1.3碳达峰的基本概念</w:t>
      </w:r>
      <w:r>
        <w:rPr>
          <w:rFonts w:hint="default" w:ascii="pingfangSC" w:hAnsi="pingfangSC" w:eastAsia="pingfangSC" w:cs="pingfangSC"/>
          <w:i w:val="0"/>
          <w:caps w:val="0"/>
          <w:color w:val="666666"/>
          <w:spacing w:val="0"/>
          <w:sz w:val="24"/>
          <w:szCs w:val="24"/>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1.1.4碳中和及其相关概念</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1.1.5碳达峰与碳中和的关系</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drawing>
          <wp:inline distT="0" distB="0" distL="114300" distR="114300">
            <wp:extent cx="5272405" cy="7581265"/>
            <wp:effectExtent l="0" t="0" r="4445" b="635"/>
            <wp:docPr id="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8"/>
                    <pic:cNvPicPr>
                      <a:picLocks noChangeAspect="1"/>
                    </pic:cNvPicPr>
                  </pic:nvPicPr>
                  <pic:blipFill>
                    <a:blip r:embed="rId10"/>
                    <a:stretch>
                      <a:fillRect/>
                    </a:stretch>
                  </pic:blipFill>
                  <pic:spPr>
                    <a:xfrm>
                      <a:off x="0" y="0"/>
                      <a:ext cx="5272405" cy="7581265"/>
                    </a:xfrm>
                    <a:prstGeom prst="rect">
                      <a:avLst/>
                    </a:prstGeom>
                    <a:noFill/>
                    <a:ln w="9525">
                      <a:noFill/>
                    </a:ln>
                  </pic:spPr>
                </pic:pic>
              </a:graphicData>
            </a:graphic>
          </wp:inline>
        </w:drawing>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jc w:val="left"/>
        <w:rPr>
          <w:rFonts w:hint="eastAsia" w:asciiTheme="minorEastAsia" w:hAnsi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cstheme="minorEastAsia"/>
          <w:b/>
          <w:bCs/>
          <w:i w:val="0"/>
          <w:caps w:val="0"/>
          <w:color w:val="auto"/>
          <w:spacing w:val="0"/>
          <w:kern w:val="0"/>
          <w:sz w:val="32"/>
          <w:szCs w:val="32"/>
          <w:shd w:val="clear" w:fill="FFFFFF"/>
          <w:lang w:val="en-US" w:eastAsia="zh-CN" w:bidi="ar"/>
        </w:rPr>
        <w:t>基本信息</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75" w:afterAutospacing="0" w:line="42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书名：</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面向SDG的国网行动：进一步助力消费侧降碳减排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作者:</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于志宏</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 著</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出版社:</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企业管理出版社</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出版时间:2023-03</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定价:68.00</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ISBN:</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 9787516427798</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页码：208</w:t>
      </w:r>
      <w:bookmarkStart w:id="1" w:name="_GoBack"/>
      <w:bookmarkEnd w:id="1"/>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开本:16</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装订:平装</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80" w:firstLineChars="200"/>
        <w:rPr>
          <w:rFonts w:hint="eastAsia" w:asciiTheme="minorEastAsia" w:hAnsiTheme="minorEastAsia" w:eastAsiaTheme="minorEastAsia" w:cstheme="minorEastAsia"/>
          <w:b w:val="0"/>
          <w:bCs w:val="0"/>
          <w:i w:val="0"/>
          <w:caps w:val="0"/>
          <w:color w:val="auto"/>
          <w:spacing w:val="0"/>
          <w:kern w:val="0"/>
          <w:sz w:val="24"/>
          <w:szCs w:val="24"/>
          <w:shd w:val="clear" w:fill="FFFFFF"/>
          <w:lang w:val="en-US" w:eastAsia="zh-CN" w:bidi="ar"/>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45" w:lineRule="atLeast"/>
        <w:ind w:left="0" w:right="0" w:firstLine="0"/>
        <w:rPr>
          <w:rFonts w:hint="eastAsia" w:ascii="宋体" w:hAnsi="宋体" w:eastAsia="宋体" w:cs="宋体"/>
          <w:sz w:val="24"/>
          <w:szCs w:val="24"/>
          <w:lang w:val="en-US" w:eastAsia="zh-CN"/>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内容介绍</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right="0" w:firstLine="480" w:firstLineChars="200"/>
        <w:jc w:val="both"/>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 xml:space="preserve">   </w:t>
      </w: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电力系统碳减排是服务“双碳”目标的重要组成部分。电网侧从自身业务和技术优势出发，在电力消费侧全面深入推进电气化和实现能效提升，是贡献碳减排力量的重要着力点和创新点。本专辑针对如何进一步助力消费侧降碳减排的难题，汇集来自国家电网系统不同单位的 35项行动。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HAnsi" w:hAnsiTheme="minorHAnsi" w:eastAsiaTheme="minorEastAsia" w:cstheme="minorBidi"/>
          <w:b w:val="0"/>
          <w:kern w:val="0"/>
          <w:sz w:val="24"/>
          <w:szCs w:val="24"/>
          <w:lang w:val="en-US" w:eastAsia="zh-CN" w:bidi="ar"/>
        </w:rPr>
      </w:pPr>
      <w:r>
        <w:rPr>
          <w:rFonts w:hint="eastAsia" w:asciiTheme="minorEastAsia" w:hAnsiTheme="minorEastAsia" w:eastAsiaTheme="minorEastAsia" w:cstheme="minorEastAsia"/>
          <w:b/>
          <w:bCs/>
          <w:i w:val="0"/>
          <w:caps w:val="0"/>
          <w:color w:val="auto"/>
          <w:spacing w:val="0"/>
          <w:kern w:val="0"/>
          <w:sz w:val="32"/>
          <w:szCs w:val="32"/>
          <w:shd w:val="clear" w:fill="FFFFFF"/>
          <w:lang w:val="en-US" w:eastAsia="zh-CN" w:bidi="ar"/>
        </w:rPr>
        <w:t>目录</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t>“碳”寻水泥行业发展“清新”路——全国水泥行业“综合碳管理”示范行动</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“不让建筑多费一度电”——协同智治的低碳楼宇改造“轻”方案</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先预算、后用能,用能预算“e本账”助力城市低碳发展</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“绿电魔方”让工业企业降碳“稳准好”</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“双碳”菜单——预制式综合能源服务推广策略</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“双碳大脑”——城市级降碳减排的数字化“秘籍”</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多站融合,打造智慧能源服务综合体</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政企协同,构建绿色注塑推广模式,助力家居产业降碳增效</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全链式碳电协同治理,加速推进绿色转型</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“美丽小岗、零碳乡村”,打造长三角乡村振兴“绿色标杆”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30" w:lineRule="atLeast"/>
        <w:ind w:left="0" w:right="0" w:firstLine="0"/>
        <w:jc w:val="left"/>
        <w:rPr>
          <w:rFonts w:hint="eastAsia" w:asciiTheme="minorEastAsia" w:hAnsiTheme="minorEastAsia" w:eastAsiaTheme="minorEastAsia" w:cstheme="minorEastAsia"/>
          <w:b w:val="0"/>
          <w:i w:val="0"/>
          <w:caps w:val="0"/>
          <w:color w:val="auto"/>
          <w:spacing w:val="0"/>
          <w:kern w:val="0"/>
          <w:sz w:val="24"/>
          <w:szCs w:val="24"/>
          <w:shd w:val="clear" w:fill="FFFFFF"/>
          <w:lang w:val="en-US" w:eastAsia="zh-CN" w:bidi="ar"/>
        </w:rPr>
      </w:pP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数字化低碳新型电力系统提升老旧街区可持续能源供给能力</w:t>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br w:type="textWrapping"/>
      </w:r>
      <w:r>
        <w:rPr>
          <w:rFonts w:hint="default" w:asciiTheme="minorEastAsia" w:hAnsiTheme="minorEastAsia" w:eastAsiaTheme="minorEastAsia" w:cstheme="minorEastAsia"/>
          <w:b w:val="0"/>
          <w:i w:val="0"/>
          <w:caps w:val="0"/>
          <w:color w:val="auto"/>
          <w:spacing w:val="0"/>
          <w:kern w:val="0"/>
          <w:sz w:val="24"/>
          <w:szCs w:val="24"/>
          <w:shd w:val="clear" w:fill="FFFFFF"/>
          <w:lang w:val="en-US" w:eastAsia="zh-CN" w:bidi="ar"/>
        </w:rPr>
        <w:t>“源网荷储”一体化,探索台儿庄古城“零碳景区”建设新模式</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pingfangSC">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Tahoma">
    <w:panose1 w:val="020B0604030504040204"/>
    <w:charset w:val="00"/>
    <w:family w:val="auto"/>
    <w:pitch w:val="default"/>
    <w:sig w:usb0="E1002EFF" w:usb1="C000605B" w:usb2="00000029" w:usb3="00000000" w:csb0="200101FF" w:csb1="20280000"/>
  </w:font>
  <w:font w:name="Arial">
    <w:panose1 w:val="020B0604020202020204"/>
    <w:charset w:val="00"/>
    <w:family w:val="auto"/>
    <w:pitch w:val="default"/>
    <w:sig w:usb0="E0002AFF" w:usb1="C0007843"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CE1369D"/>
    <w:rsid w:val="026B52A8"/>
    <w:rsid w:val="0404395C"/>
    <w:rsid w:val="04F226DF"/>
    <w:rsid w:val="0500479E"/>
    <w:rsid w:val="05FE3655"/>
    <w:rsid w:val="073E4821"/>
    <w:rsid w:val="07E95068"/>
    <w:rsid w:val="087F603E"/>
    <w:rsid w:val="08C7736C"/>
    <w:rsid w:val="09080709"/>
    <w:rsid w:val="0BD51671"/>
    <w:rsid w:val="0FBF0FEB"/>
    <w:rsid w:val="12BF44A8"/>
    <w:rsid w:val="148E744A"/>
    <w:rsid w:val="15F51BEB"/>
    <w:rsid w:val="186E53E6"/>
    <w:rsid w:val="1A333A08"/>
    <w:rsid w:val="1A745F99"/>
    <w:rsid w:val="1BCE4CF0"/>
    <w:rsid w:val="1C150605"/>
    <w:rsid w:val="1CB302CB"/>
    <w:rsid w:val="220838CE"/>
    <w:rsid w:val="236E665E"/>
    <w:rsid w:val="24A70C5B"/>
    <w:rsid w:val="26D836ED"/>
    <w:rsid w:val="272B7EDF"/>
    <w:rsid w:val="29872D19"/>
    <w:rsid w:val="29D04FE7"/>
    <w:rsid w:val="2A0738C1"/>
    <w:rsid w:val="2D8F4E20"/>
    <w:rsid w:val="2D9B67DD"/>
    <w:rsid w:val="2DAF120C"/>
    <w:rsid w:val="2EE17643"/>
    <w:rsid w:val="2F2E599C"/>
    <w:rsid w:val="2F8D4C6A"/>
    <w:rsid w:val="32A66FC4"/>
    <w:rsid w:val="32CE0285"/>
    <w:rsid w:val="33AE69BF"/>
    <w:rsid w:val="34D57167"/>
    <w:rsid w:val="35547C67"/>
    <w:rsid w:val="36411DB4"/>
    <w:rsid w:val="3656250D"/>
    <w:rsid w:val="37CC2B67"/>
    <w:rsid w:val="38400821"/>
    <w:rsid w:val="3B6F335A"/>
    <w:rsid w:val="3B837B67"/>
    <w:rsid w:val="3D1B1311"/>
    <w:rsid w:val="3E904565"/>
    <w:rsid w:val="400728F0"/>
    <w:rsid w:val="411614CB"/>
    <w:rsid w:val="42737FED"/>
    <w:rsid w:val="43EE69C3"/>
    <w:rsid w:val="449329B5"/>
    <w:rsid w:val="459E3C16"/>
    <w:rsid w:val="46911AB2"/>
    <w:rsid w:val="46B076E8"/>
    <w:rsid w:val="48013058"/>
    <w:rsid w:val="48ED30E4"/>
    <w:rsid w:val="4A0E0EA9"/>
    <w:rsid w:val="4A6C4282"/>
    <w:rsid w:val="4CCC114D"/>
    <w:rsid w:val="4F9A1A35"/>
    <w:rsid w:val="517C546B"/>
    <w:rsid w:val="51FA368D"/>
    <w:rsid w:val="522F2331"/>
    <w:rsid w:val="529334FC"/>
    <w:rsid w:val="531749C2"/>
    <w:rsid w:val="548E77CE"/>
    <w:rsid w:val="55FA758A"/>
    <w:rsid w:val="58234285"/>
    <w:rsid w:val="59D74073"/>
    <w:rsid w:val="59EA0AF1"/>
    <w:rsid w:val="5A1A0218"/>
    <w:rsid w:val="5B17729A"/>
    <w:rsid w:val="5C8241B5"/>
    <w:rsid w:val="5CE1369D"/>
    <w:rsid w:val="5DF81F4F"/>
    <w:rsid w:val="62054A19"/>
    <w:rsid w:val="63EE7854"/>
    <w:rsid w:val="648F2367"/>
    <w:rsid w:val="65204904"/>
    <w:rsid w:val="65235452"/>
    <w:rsid w:val="652E1D4D"/>
    <w:rsid w:val="652F630F"/>
    <w:rsid w:val="65A86554"/>
    <w:rsid w:val="66317954"/>
    <w:rsid w:val="66455EEA"/>
    <w:rsid w:val="6706686C"/>
    <w:rsid w:val="68E05C5C"/>
    <w:rsid w:val="69921113"/>
    <w:rsid w:val="69CE30C7"/>
    <w:rsid w:val="6C0E4B07"/>
    <w:rsid w:val="6C1D7D6E"/>
    <w:rsid w:val="6EFA5482"/>
    <w:rsid w:val="6F957F4A"/>
    <w:rsid w:val="6F9C3969"/>
    <w:rsid w:val="70712660"/>
    <w:rsid w:val="720170D1"/>
    <w:rsid w:val="72DD7F15"/>
    <w:rsid w:val="74021C92"/>
    <w:rsid w:val="75B841FA"/>
    <w:rsid w:val="75D960DE"/>
    <w:rsid w:val="769C61B8"/>
    <w:rsid w:val="76CD09D0"/>
    <w:rsid w:val="799A08EB"/>
    <w:rsid w:val="7A0E51A8"/>
    <w:rsid w:val="7AF44D20"/>
    <w:rsid w:val="7B4D48C8"/>
    <w:rsid w:val="7C077967"/>
    <w:rsid w:val="7DAB5FC4"/>
    <w:rsid w:val="7E5C72B9"/>
    <w:rsid w:val="7F9B7B33"/>
    <w:rsid w:val="7FDE03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6">
    <w:name w:val="Default Paragraph Font"/>
    <w:semiHidden/>
    <w:qFormat/>
    <w:uiPriority w:val="0"/>
  </w:style>
  <w:style w:type="table" w:default="1" w:styleId="9">
    <w:name w:val="Normal Table"/>
    <w:semiHidden/>
    <w:qFormat/>
    <w:uiPriority w:val="0"/>
    <w:tblPr>
      <w:tblLayout w:type="fixed"/>
      <w:tblCellMar>
        <w:top w:w="0" w:type="dxa"/>
        <w:left w:w="108" w:type="dxa"/>
        <w:bottom w:w="0" w:type="dxa"/>
        <w:right w:w="108" w:type="dxa"/>
      </w:tblCellMar>
    </w:tbl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 w:type="character" w:styleId="8">
    <w:name w:val="Hyperlink"/>
    <w:basedOn w:val="6"/>
    <w:qFormat/>
    <w:uiPriority w:val="0"/>
    <w:rPr>
      <w:color w:val="0000FF"/>
      <w:u w:val="single"/>
    </w:rPr>
  </w:style>
  <w:style w:type="paragraph" w:customStyle="1" w:styleId="10">
    <w:name w:val="_Style 8"/>
    <w:basedOn w:val="1"/>
    <w:next w:val="1"/>
    <w:qFormat/>
    <w:uiPriority w:val="0"/>
    <w:pPr>
      <w:pBdr>
        <w:bottom w:val="single" w:color="auto" w:sz="6" w:space="1"/>
      </w:pBdr>
      <w:jc w:val="center"/>
    </w:pPr>
    <w:rPr>
      <w:rFonts w:ascii="Arial" w:eastAsia="宋体"/>
      <w:vanish/>
      <w:sz w:val="16"/>
    </w:rPr>
  </w:style>
  <w:style w:type="paragraph" w:customStyle="1" w:styleId="11">
    <w:name w:val="_Style 9"/>
    <w:basedOn w:val="1"/>
    <w:next w:val="1"/>
    <w:qFormat/>
    <w:uiPriority w:val="0"/>
    <w:pPr>
      <w:pBdr>
        <w:top w:val="single" w:color="auto" w:sz="6" w:space="1"/>
      </w:pBdr>
      <w:jc w:val="center"/>
    </w:pPr>
    <w:rPr>
      <w:rFonts w:ascii="Arial" w:eastAsia="宋体"/>
      <w:vanish/>
      <w:sz w:val="16"/>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NULL"/><Relationship Id="rId3" Type="http://schemas.openxmlformats.org/officeDocument/2006/relationships/theme" Target="theme/theme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Office_10.8.2.6613_F1E327BC-269C-435d-A152-05C5408002CA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2022-01-17T03:37:00Z</dcterms:created>
  <dc:creator>admin</dc:creator>
  <cp:lastModifiedBy>admin</cp:lastModifiedBy>
  <dcterms:modified xsi:type="dcterms:W3CDTF">2024-07-02T07:24:45Z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2052-10.8.2.6613</vt:lpwstr>
  </property>
</Properties>
</file>