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snapToGrid/>
        <w:spacing w:line="240" w:lineRule="auto"/>
        <w:ind w:right="0"/>
        <w:jc w:val="center"/>
        <w:textAlignment w:val="auto"/>
        <w:rPr>
          <w:rFonts w:hint="default" w:ascii="宋体" w:hAnsi="宋体" w:eastAsia="宋体" w:cs="宋体"/>
          <w:b w:val="0"/>
          <w:bCs w:val="0"/>
          <w:sz w:val="44"/>
          <w:szCs w:val="44"/>
        </w:rPr>
      </w:pPr>
      <w:bookmarkStart w:id="0" w:name="_GoBack"/>
      <w:bookmarkEnd w:id="0"/>
      <w:r>
        <w:rPr>
          <w:rFonts w:hint="eastAsia" w:ascii="宋体" w:hAnsi="宋体" w:eastAsia="宋体" w:cs="宋体"/>
          <w:b w:val="0"/>
          <w:bCs w:val="0"/>
          <w:sz w:val="44"/>
          <w:szCs w:val="44"/>
        </w:rPr>
        <w:t>2025年山东地区光明电力服务公司招聘公告</w:t>
      </w:r>
    </w:p>
    <w:p>
      <w:pPr>
        <w:keepNext w:val="0"/>
        <w:keepLines w:val="0"/>
        <w:pageBreakBefore w:val="0"/>
        <w:widowControl w:val="0"/>
        <w:kinsoku/>
        <w:wordWrap/>
        <w:overflowPunct/>
        <w:topLinePunct w:val="0"/>
        <w:autoSpaceDE/>
        <w:autoSpaceDN/>
        <w:bidi w:val="0"/>
        <w:adjustRightInd/>
        <w:snapToGrid/>
        <w:spacing w:line="240" w:lineRule="auto"/>
        <w:ind w:left="0" w:leftChars="0" w:right="0" w:firstLine="640" w:firstLineChars="200"/>
        <w:jc w:val="both"/>
        <w:textAlignment w:val="auto"/>
        <w:rPr>
          <w:rFonts w:hint="eastAsia" w:ascii="仿宋_GB2312" w:hAnsi="Times New Roman" w:eastAsia="仿宋_GB2312" w:cs="Times New Roman"/>
          <w:b w:val="0"/>
          <w:bCs w:val="0"/>
          <w:sz w:val="32"/>
          <w:lang w:val="en-US" w:eastAsia="zh-CN"/>
        </w:rPr>
      </w:pPr>
      <w:r>
        <w:rPr>
          <w:rFonts w:hint="eastAsia" w:ascii="仿宋_GB2312" w:hAnsi="Times New Roman" w:eastAsia="仿宋_GB2312" w:cs="Times New Roman"/>
          <w:b w:val="0"/>
          <w:bCs w:val="0"/>
          <w:sz w:val="32"/>
          <w:lang w:val="en-US" w:eastAsia="zh-CN"/>
        </w:rPr>
        <w:t>山东各地市光明电力服务公司均为独立法人企业，注册资本在300万元以上，办公地点位于各相应市县，目前受托从事当地部分农村电网的运维与营销服务业务。</w:t>
      </w:r>
    </w:p>
    <w:p>
      <w:pPr>
        <w:keepNext w:val="0"/>
        <w:keepLines w:val="0"/>
        <w:pageBreakBefore w:val="0"/>
        <w:widowControl w:val="0"/>
        <w:kinsoku/>
        <w:wordWrap/>
        <w:overflowPunct/>
        <w:topLinePunct w:val="0"/>
        <w:autoSpaceDE/>
        <w:autoSpaceDN/>
        <w:bidi w:val="0"/>
        <w:adjustRightInd/>
        <w:snapToGrid/>
        <w:spacing w:line="240" w:lineRule="auto"/>
        <w:ind w:left="0" w:leftChars="0" w:right="0" w:firstLine="640" w:firstLineChars="200"/>
        <w:jc w:val="both"/>
        <w:textAlignment w:val="auto"/>
        <w:rPr>
          <w:rFonts w:hint="eastAsia" w:ascii="方正仿宋_GBK" w:hAnsi="方正仿宋_GBK" w:eastAsia="方正仿宋_GBK" w:cs="方正仿宋_GBK"/>
          <w:i w:val="0"/>
          <w:iCs w:val="0"/>
          <w:caps w:val="0"/>
          <w:color w:val="000000"/>
          <w:spacing w:val="0"/>
          <w:sz w:val="30"/>
          <w:szCs w:val="30"/>
        </w:rPr>
      </w:pPr>
      <w:r>
        <w:rPr>
          <w:rFonts w:hint="eastAsia" w:ascii="仿宋_GB2312" w:hAnsi="Times New Roman" w:eastAsia="仿宋_GB2312" w:cs="Times New Roman"/>
          <w:b w:val="0"/>
          <w:bCs w:val="0"/>
          <w:sz w:val="32"/>
          <w:lang w:val="en-US" w:eastAsia="zh-CN"/>
        </w:rPr>
        <w:t>现开展2025年光明电力服务公司招聘工作，录用人员与相应招聘单位签订劳动合同，具体招聘情况如下。</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jc w:val="left"/>
        <w:textAlignment w:val="auto"/>
        <w:outlineLvl w:val="9"/>
        <w:rPr>
          <w:rFonts w:hint="default" w:ascii="方正仿宋_GBK" w:hAnsi="方正仿宋_GBK" w:eastAsia="方正仿宋_GBK" w:cs="方正仿宋_GBK"/>
          <w:i w:val="0"/>
          <w:iCs w:val="0"/>
          <w:caps w:val="0"/>
          <w:color w:val="000000"/>
          <w:spacing w:val="0"/>
          <w:szCs w:val="32"/>
          <w:lang w:val="en-US" w:eastAsia="zh-CN"/>
        </w:rPr>
      </w:pPr>
      <w:r>
        <w:rPr>
          <w:rFonts w:hint="eastAsia" w:ascii="黑体" w:hAnsi="黑体" w:eastAsia="黑体" w:cs="Times New Roman"/>
          <w:b w:val="0"/>
          <w:bCs w:val="0"/>
          <w:kern w:val="0"/>
          <w:sz w:val="32"/>
          <w:lang w:val="en-US" w:eastAsia="zh-CN"/>
        </w:rPr>
        <w:t>一、招聘安排</w:t>
      </w:r>
    </w:p>
    <w:p>
      <w:pPr>
        <w:keepNext w:val="0"/>
        <w:keepLines w:val="0"/>
        <w:pageBreakBefore w:val="0"/>
        <w:widowControl w:val="0"/>
        <w:kinsoku/>
        <w:wordWrap/>
        <w:overflowPunct/>
        <w:topLinePunct w:val="0"/>
        <w:autoSpaceDE/>
        <w:autoSpaceDN/>
        <w:bidi w:val="0"/>
        <w:adjustRightInd/>
        <w:snapToGrid/>
        <w:spacing w:line="240" w:lineRule="auto"/>
        <w:ind w:left="0" w:leftChars="0" w:right="0" w:firstLine="640" w:firstLineChars="200"/>
        <w:jc w:val="both"/>
        <w:textAlignment w:val="auto"/>
        <w:rPr>
          <w:rFonts w:hint="eastAsia" w:ascii="仿宋_GB2312" w:hAnsi="Times New Roman" w:eastAsia="仿宋_GB2312" w:cs="Times New Roman"/>
          <w:b w:val="0"/>
          <w:bCs w:val="0"/>
          <w:sz w:val="32"/>
          <w:lang w:val="en-US" w:eastAsia="zh-CN"/>
        </w:rPr>
      </w:pPr>
      <w:r>
        <w:rPr>
          <w:rFonts w:hint="eastAsia" w:ascii="仿宋_GB2312" w:hAnsi="Times New Roman" w:eastAsia="仿宋_GB2312" w:cs="Times New Roman"/>
          <w:b w:val="0"/>
          <w:bCs w:val="0"/>
          <w:sz w:val="32"/>
          <w:lang w:val="en-US" w:eastAsia="zh-CN"/>
        </w:rPr>
        <w:t>1.招聘流程：网上报名→资格审查→笔试→性格测试→面试→公示→录用。</w:t>
      </w:r>
    </w:p>
    <w:p>
      <w:pPr>
        <w:keepNext w:val="0"/>
        <w:keepLines w:val="0"/>
        <w:pageBreakBefore w:val="0"/>
        <w:widowControl w:val="0"/>
        <w:kinsoku/>
        <w:wordWrap/>
        <w:overflowPunct/>
        <w:topLinePunct w:val="0"/>
        <w:autoSpaceDE/>
        <w:autoSpaceDN/>
        <w:bidi w:val="0"/>
        <w:adjustRightInd/>
        <w:snapToGrid/>
        <w:spacing w:line="240" w:lineRule="auto"/>
        <w:ind w:left="0" w:leftChars="0" w:right="0" w:firstLine="640" w:firstLineChars="200"/>
        <w:jc w:val="both"/>
        <w:textAlignment w:val="auto"/>
        <w:rPr>
          <w:rFonts w:hint="eastAsia" w:ascii="仿宋_GB2312" w:hAnsi="Times New Roman" w:eastAsia="仿宋_GB2312" w:cs="Times New Roman"/>
          <w:b w:val="0"/>
          <w:bCs w:val="0"/>
          <w:sz w:val="32"/>
          <w:lang w:val="en-US" w:eastAsia="zh-CN"/>
        </w:rPr>
      </w:pPr>
      <w:r>
        <w:rPr>
          <w:rFonts w:hint="eastAsia" w:ascii="仿宋_GB2312" w:hAnsi="Times New Roman" w:eastAsia="仿宋_GB2312" w:cs="Times New Roman"/>
          <w:b w:val="0"/>
          <w:bCs w:val="0"/>
          <w:sz w:val="32"/>
          <w:lang w:val="en-US" w:eastAsia="zh-CN"/>
        </w:rPr>
        <w:t>2.报名时间：2025年5月18日截止。</w:t>
      </w:r>
    </w:p>
    <w:p>
      <w:pPr>
        <w:keepNext w:val="0"/>
        <w:keepLines w:val="0"/>
        <w:pageBreakBefore w:val="0"/>
        <w:widowControl w:val="0"/>
        <w:kinsoku/>
        <w:wordWrap/>
        <w:overflowPunct/>
        <w:topLinePunct w:val="0"/>
        <w:autoSpaceDE/>
        <w:autoSpaceDN/>
        <w:bidi w:val="0"/>
        <w:adjustRightInd/>
        <w:snapToGrid/>
        <w:spacing w:line="240" w:lineRule="auto"/>
        <w:ind w:left="0" w:leftChars="0" w:right="0" w:firstLine="640" w:firstLineChars="200"/>
        <w:jc w:val="both"/>
        <w:textAlignment w:val="auto"/>
        <w:rPr>
          <w:rFonts w:hint="eastAsia" w:ascii="仿宋_GB2312" w:hAnsi="Times New Roman" w:eastAsia="仿宋_GB2312" w:cs="Times New Roman"/>
          <w:b w:val="0"/>
          <w:bCs w:val="0"/>
          <w:sz w:val="32"/>
          <w:lang w:val="en-US" w:eastAsia="zh-CN"/>
        </w:rPr>
      </w:pPr>
      <w:r>
        <w:rPr>
          <w:rFonts w:hint="eastAsia" w:ascii="仿宋_GB2312" w:hAnsi="Times New Roman" w:eastAsia="仿宋_GB2312" w:cs="Times New Roman"/>
          <w:b w:val="0"/>
          <w:bCs w:val="0"/>
          <w:sz w:val="32"/>
          <w:lang w:val="en-US" w:eastAsia="zh-CN"/>
        </w:rPr>
        <w:t>3.报名网址：http://sdgm2025.qlrc.com。请登录报名网址在线填写个人信息，进行网上报名。每位应聘者只能选择一家单位的岗位报名，并明确是否服从调剂。</w:t>
      </w:r>
    </w:p>
    <w:p>
      <w:pPr>
        <w:keepNext w:val="0"/>
        <w:keepLines w:val="0"/>
        <w:pageBreakBefore w:val="0"/>
        <w:widowControl w:val="0"/>
        <w:kinsoku/>
        <w:wordWrap/>
        <w:overflowPunct/>
        <w:topLinePunct w:val="0"/>
        <w:autoSpaceDE/>
        <w:autoSpaceDN/>
        <w:bidi w:val="0"/>
        <w:adjustRightInd/>
        <w:snapToGrid/>
        <w:spacing w:line="240" w:lineRule="auto"/>
        <w:ind w:left="0" w:leftChars="0" w:right="0" w:firstLine="640" w:firstLineChars="200"/>
        <w:jc w:val="both"/>
        <w:textAlignment w:val="auto"/>
        <w:rPr>
          <w:rFonts w:hint="eastAsia" w:ascii="仿宋_GB2312" w:hAnsi="Times New Roman" w:eastAsia="仿宋_GB2312" w:cs="Times New Roman"/>
          <w:b w:val="0"/>
          <w:bCs w:val="0"/>
          <w:sz w:val="32"/>
          <w:lang w:val="en-US" w:eastAsia="zh-CN"/>
        </w:rPr>
      </w:pPr>
      <w:r>
        <w:rPr>
          <w:rFonts w:hint="eastAsia" w:ascii="仿宋_GB2312" w:hAnsi="Times New Roman" w:eastAsia="仿宋_GB2312" w:cs="Times New Roman"/>
          <w:b w:val="0"/>
          <w:bCs w:val="0"/>
          <w:sz w:val="32"/>
          <w:lang w:val="en-US" w:eastAsia="zh-CN"/>
        </w:rPr>
        <w:t>4.招聘条件：详见各光明电力服务公司招聘公告。</w:t>
      </w:r>
    </w:p>
    <w:p>
      <w:pPr>
        <w:keepNext w:val="0"/>
        <w:keepLines w:val="0"/>
        <w:pageBreakBefore w:val="0"/>
        <w:widowControl w:val="0"/>
        <w:kinsoku/>
        <w:wordWrap/>
        <w:overflowPunct/>
        <w:topLinePunct w:val="0"/>
        <w:autoSpaceDE/>
        <w:autoSpaceDN/>
        <w:bidi w:val="0"/>
        <w:adjustRightInd/>
        <w:snapToGrid/>
        <w:spacing w:line="240" w:lineRule="auto"/>
        <w:ind w:left="0" w:leftChars="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lang w:eastAsia="zh-CN"/>
        </w:rPr>
      </w:pPr>
      <w:r>
        <w:rPr>
          <w:rFonts w:hint="eastAsia" w:ascii="仿宋_GB2312" w:hAnsi="Times New Roman" w:eastAsia="仿宋_GB2312" w:cs="Times New Roman"/>
          <w:b w:val="0"/>
          <w:bCs w:val="0"/>
          <w:sz w:val="32"/>
          <w:lang w:val="en-US" w:eastAsia="zh-CN"/>
        </w:rPr>
        <w:t>5.考试安排：预计5月下旬组织笔试，具体情况另行通知。</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640" w:firstLineChars="200"/>
        <w:textAlignment w:val="auto"/>
        <w:rPr>
          <w:rFonts w:hint="eastAsia" w:ascii="方正仿宋_GBK" w:hAnsi="方正仿宋_GBK" w:eastAsia="方正仿宋_GBK" w:cs="方正仿宋_GBK"/>
          <w:sz w:val="32"/>
          <w:szCs w:val="32"/>
        </w:rPr>
      </w:pPr>
      <w:r>
        <w:rPr>
          <w:rFonts w:hint="eastAsia" w:ascii="黑体" w:hAnsi="黑体" w:eastAsia="黑体" w:cs="Times New Roman"/>
          <w:b w:val="0"/>
          <w:bCs w:val="0"/>
          <w:kern w:val="0"/>
          <w:sz w:val="32"/>
          <w:szCs w:val="24"/>
          <w:lang w:val="en-US" w:eastAsia="zh-CN" w:bidi="ar-SA"/>
        </w:rPr>
        <w:t>二、应聘事项</w:t>
      </w:r>
      <w:r>
        <w:rPr>
          <w:rFonts w:hint="eastAsia" w:ascii="方正仿宋_GBK" w:hAnsi="方正仿宋_GBK" w:eastAsia="方正仿宋_GBK" w:cs="方正仿宋_GBK"/>
          <w:b/>
          <w:bCs/>
          <w:i w:val="0"/>
          <w:iCs w:val="0"/>
          <w:caps w:val="0"/>
          <w:color w:val="FFFFFF"/>
          <w:spacing w:val="0"/>
          <w:kern w:val="0"/>
          <w:sz w:val="32"/>
          <w:szCs w:val="32"/>
          <w:lang w:val="en-US" w:eastAsia="zh-CN" w:bidi="ar"/>
        </w:rPr>
        <w:t>应聘事项</w:t>
      </w:r>
    </w:p>
    <w:p>
      <w:pPr>
        <w:keepNext w:val="0"/>
        <w:keepLines w:val="0"/>
        <w:pageBreakBefore w:val="0"/>
        <w:widowControl w:val="0"/>
        <w:kinsoku/>
        <w:wordWrap/>
        <w:overflowPunct/>
        <w:topLinePunct w:val="0"/>
        <w:autoSpaceDE/>
        <w:autoSpaceDN/>
        <w:bidi w:val="0"/>
        <w:adjustRightInd/>
        <w:snapToGrid/>
        <w:spacing w:line="240" w:lineRule="auto"/>
        <w:ind w:left="0" w:leftChars="0" w:right="0" w:firstLine="640" w:firstLineChars="200"/>
        <w:jc w:val="both"/>
        <w:textAlignment w:val="auto"/>
        <w:rPr>
          <w:rFonts w:hint="eastAsia" w:ascii="仿宋_GB2312" w:hAnsi="Times New Roman" w:eastAsia="仿宋_GB2312" w:cs="Times New Roman"/>
          <w:b w:val="0"/>
          <w:bCs w:val="0"/>
          <w:sz w:val="32"/>
          <w:lang w:val="en-US" w:eastAsia="zh-CN"/>
        </w:rPr>
      </w:pPr>
      <w:r>
        <w:rPr>
          <w:rFonts w:hint="eastAsia" w:ascii="仿宋_GB2312" w:hAnsi="Times New Roman" w:eastAsia="仿宋_GB2312" w:cs="Times New Roman"/>
          <w:b w:val="0"/>
          <w:bCs w:val="0"/>
          <w:sz w:val="32"/>
          <w:lang w:val="en-US" w:eastAsia="zh-CN"/>
        </w:rPr>
        <w:t>1.公司将对应聘者进行简历筛选，确定进入后续招聘流程的人员。报名时，应聘人员须上传学籍验证报告、毕业证、学位证、所获资格证书、荣誉证书等证明材料。报名时未填写正确有效的学籍验证码、未上传学籍验证报告或报告无效将影响获得应聘资格。</w:t>
      </w:r>
    </w:p>
    <w:p>
      <w:pPr>
        <w:keepNext w:val="0"/>
        <w:keepLines w:val="0"/>
        <w:pageBreakBefore w:val="0"/>
        <w:widowControl w:val="0"/>
        <w:kinsoku/>
        <w:wordWrap/>
        <w:overflowPunct/>
        <w:topLinePunct w:val="0"/>
        <w:autoSpaceDE/>
        <w:autoSpaceDN/>
        <w:bidi w:val="0"/>
        <w:adjustRightInd/>
        <w:snapToGrid/>
        <w:spacing w:line="240" w:lineRule="auto"/>
        <w:ind w:left="0" w:leftChars="0" w:right="0" w:firstLine="640" w:firstLineChars="200"/>
        <w:jc w:val="both"/>
        <w:textAlignment w:val="auto"/>
        <w:rPr>
          <w:rFonts w:hint="eastAsia" w:ascii="仿宋_GB2312" w:hAnsi="Times New Roman" w:eastAsia="仿宋_GB2312" w:cs="Times New Roman"/>
          <w:b w:val="0"/>
          <w:bCs w:val="0"/>
          <w:sz w:val="32"/>
          <w:lang w:val="en-US" w:eastAsia="zh-CN"/>
        </w:rPr>
      </w:pPr>
      <w:r>
        <w:rPr>
          <w:rFonts w:hint="eastAsia" w:ascii="仿宋_GB2312" w:hAnsi="Times New Roman" w:eastAsia="仿宋_GB2312" w:cs="Times New Roman"/>
          <w:b w:val="0"/>
          <w:bCs w:val="0"/>
          <w:sz w:val="32"/>
          <w:lang w:val="en-US" w:eastAsia="zh-CN"/>
        </w:rPr>
        <w:t>2.公司将以短信方式通知笔试、面试入围者，通知将发送至应聘者在招聘平台内填报的手机号码，请确保通信通畅。未入围者不再另行通知。</w:t>
      </w:r>
    </w:p>
    <w:p>
      <w:pPr>
        <w:pStyle w:val="3"/>
        <w:bidi w:val="0"/>
        <w:jc w:val="left"/>
        <w:rPr>
          <w:rFonts w:hint="default" w:ascii="方正仿宋_GBK" w:hAnsi="方正仿宋_GBK" w:eastAsia="方正仿宋_GBK" w:cs="方正仿宋_GBK"/>
          <w:i w:val="0"/>
          <w:iCs w:val="0"/>
          <w:caps w:val="0"/>
          <w:color w:val="000000"/>
          <w:spacing w:val="0"/>
          <w:szCs w:val="32"/>
          <w:lang w:val="en-US" w:eastAsia="zh-CN"/>
        </w:rPr>
      </w:pPr>
      <w:r>
        <w:rPr>
          <w:rFonts w:hint="eastAsia" w:ascii="黑体" w:hAnsi="黑体" w:eastAsia="黑体" w:cs="Times New Roman"/>
          <w:b w:val="0"/>
          <w:bCs w:val="0"/>
          <w:kern w:val="0"/>
          <w:sz w:val="32"/>
          <w:szCs w:val="24"/>
          <w:lang w:val="en-US" w:eastAsia="zh-CN" w:bidi="ar-SA"/>
        </w:rPr>
        <w:t>三、考试内容</w:t>
      </w:r>
    </w:p>
    <w:p>
      <w:pPr>
        <w:keepNext w:val="0"/>
        <w:keepLines w:val="0"/>
        <w:pageBreakBefore w:val="0"/>
        <w:widowControl w:val="0"/>
        <w:kinsoku/>
        <w:wordWrap/>
        <w:overflowPunct/>
        <w:topLinePunct w:val="0"/>
        <w:autoSpaceDE/>
        <w:autoSpaceDN/>
        <w:bidi w:val="0"/>
        <w:adjustRightInd/>
        <w:snapToGrid/>
        <w:spacing w:line="240" w:lineRule="auto"/>
        <w:ind w:left="0" w:leftChars="0" w:right="0" w:firstLine="640" w:firstLineChars="200"/>
        <w:jc w:val="both"/>
        <w:textAlignment w:val="auto"/>
        <w:rPr>
          <w:rFonts w:hint="eastAsia" w:ascii="仿宋_GB2312" w:hAnsi="Times New Roman" w:eastAsia="仿宋_GB2312" w:cs="Times New Roman"/>
          <w:b w:val="0"/>
          <w:bCs w:val="0"/>
          <w:sz w:val="32"/>
          <w:lang w:val="en-US" w:eastAsia="zh-CN"/>
        </w:rPr>
      </w:pPr>
      <w:r>
        <w:rPr>
          <w:rFonts w:hint="eastAsia" w:ascii="仿宋_GB2312" w:hAnsi="Times New Roman" w:eastAsia="仿宋_GB2312" w:cs="Times New Roman"/>
          <w:b w:val="0"/>
          <w:bCs w:val="0"/>
          <w:sz w:val="32"/>
          <w:lang w:val="en-US" w:eastAsia="zh-CN"/>
        </w:rPr>
        <w:t>考试分笔试、面试。</w:t>
      </w:r>
    </w:p>
    <w:p>
      <w:pPr>
        <w:keepNext w:val="0"/>
        <w:keepLines w:val="0"/>
        <w:pageBreakBefore w:val="0"/>
        <w:widowControl w:val="0"/>
        <w:kinsoku/>
        <w:wordWrap/>
        <w:overflowPunct/>
        <w:topLinePunct w:val="0"/>
        <w:autoSpaceDE/>
        <w:autoSpaceDN/>
        <w:bidi w:val="0"/>
        <w:adjustRightInd/>
        <w:snapToGrid/>
        <w:spacing w:line="240" w:lineRule="auto"/>
        <w:ind w:left="0" w:leftChars="0" w:right="0" w:firstLine="640" w:firstLineChars="200"/>
        <w:jc w:val="both"/>
        <w:textAlignment w:val="auto"/>
        <w:rPr>
          <w:rFonts w:hint="eastAsia" w:ascii="仿宋_GB2312" w:hAnsi="Times New Roman" w:eastAsia="仿宋_GB2312" w:cs="Times New Roman"/>
          <w:b w:val="0"/>
          <w:bCs w:val="0"/>
          <w:sz w:val="32"/>
          <w:lang w:val="en-US" w:eastAsia="zh-CN"/>
        </w:rPr>
      </w:pPr>
      <w:r>
        <w:rPr>
          <w:rFonts w:hint="eastAsia" w:ascii="仿宋_GB2312" w:hAnsi="Times New Roman" w:eastAsia="仿宋_GB2312" w:cs="Times New Roman"/>
          <w:b w:val="0"/>
          <w:bCs w:val="0"/>
          <w:sz w:val="32"/>
          <w:lang w:val="en-US" w:eastAsia="zh-CN"/>
        </w:rPr>
        <w:t>1.笔试：具体内容参见考试大纲。</w:t>
      </w:r>
    </w:p>
    <w:p>
      <w:pPr>
        <w:keepNext w:val="0"/>
        <w:keepLines w:val="0"/>
        <w:pageBreakBefore w:val="0"/>
        <w:widowControl w:val="0"/>
        <w:kinsoku/>
        <w:wordWrap/>
        <w:overflowPunct/>
        <w:topLinePunct w:val="0"/>
        <w:autoSpaceDE/>
        <w:autoSpaceDN/>
        <w:bidi w:val="0"/>
        <w:adjustRightInd/>
        <w:snapToGrid/>
        <w:spacing w:line="240" w:lineRule="auto"/>
        <w:ind w:left="0" w:leftChars="0" w:right="0" w:firstLine="640" w:firstLineChars="200"/>
        <w:jc w:val="both"/>
        <w:textAlignment w:val="auto"/>
        <w:rPr>
          <w:rFonts w:hint="eastAsia" w:ascii="方正仿宋_GBK" w:hAnsi="方正仿宋_GBK" w:eastAsia="方正仿宋_GBK" w:cs="方正仿宋_GBK"/>
          <w:i w:val="0"/>
          <w:iCs w:val="0"/>
          <w:caps w:val="0"/>
          <w:color w:val="000000"/>
          <w:spacing w:val="0"/>
          <w:sz w:val="32"/>
          <w:szCs w:val="32"/>
        </w:rPr>
      </w:pPr>
      <w:r>
        <w:rPr>
          <w:rFonts w:hint="eastAsia" w:ascii="仿宋_GB2312" w:hAnsi="Times New Roman" w:eastAsia="仿宋_GB2312" w:cs="Times New Roman"/>
          <w:b w:val="0"/>
          <w:bCs w:val="0"/>
          <w:sz w:val="32"/>
          <w:lang w:val="en-US" w:eastAsia="zh-CN"/>
        </w:rPr>
        <w:t>2.面试：考察综合素质，涵盖专业能力、职位匹配性、综合分析能力、沟通协调能力、语言表达能力、形象气质等方面。</w:t>
      </w:r>
    </w:p>
    <w:p>
      <w:pPr>
        <w:pStyle w:val="3"/>
        <w:bidi w:val="0"/>
        <w:jc w:val="left"/>
        <w:rPr>
          <w:rFonts w:hint="default" w:ascii="方正仿宋_GBK" w:hAnsi="方正仿宋_GBK" w:eastAsia="方正仿宋_GBK" w:cs="方正仿宋_GBK"/>
          <w:i w:val="0"/>
          <w:iCs w:val="0"/>
          <w:caps w:val="0"/>
          <w:color w:val="000000"/>
          <w:spacing w:val="0"/>
          <w:szCs w:val="32"/>
          <w:lang w:val="en-US" w:eastAsia="zh-CN"/>
        </w:rPr>
      </w:pPr>
      <w:r>
        <w:rPr>
          <w:rFonts w:hint="eastAsia" w:ascii="黑体" w:hAnsi="黑体" w:eastAsia="黑体" w:cs="Times New Roman"/>
          <w:b w:val="0"/>
          <w:bCs w:val="0"/>
          <w:kern w:val="0"/>
          <w:sz w:val="32"/>
          <w:szCs w:val="24"/>
          <w:lang w:val="en-US" w:eastAsia="zh-CN" w:bidi="ar-SA"/>
        </w:rPr>
        <w:t>四、其他说明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firstLine="640" w:firstLineChars="200"/>
        <w:jc w:val="both"/>
        <w:textAlignment w:val="auto"/>
        <w:rPr>
          <w:rFonts w:hint="eastAsia" w:ascii="仿宋_GB2312" w:hAnsi="Times New Roman" w:eastAsia="仿宋_GB2312" w:cs="Times New Roman"/>
          <w:b w:val="0"/>
          <w:bCs w:val="0"/>
          <w:sz w:val="32"/>
          <w:lang w:val="en-US" w:eastAsia="zh-CN"/>
        </w:rPr>
      </w:pPr>
      <w:r>
        <w:rPr>
          <w:rFonts w:hint="eastAsia" w:ascii="仿宋_GB2312" w:hAnsi="Times New Roman" w:eastAsia="仿宋_GB2312" w:cs="Times New Roman"/>
          <w:b w:val="0"/>
          <w:bCs w:val="0"/>
          <w:sz w:val="32"/>
          <w:lang w:val="en-US" w:eastAsia="zh-CN"/>
        </w:rPr>
        <w:t>1.有以下情形之一的，将取消应聘者的相应资格：</w:t>
      </w:r>
    </w:p>
    <w:p>
      <w:pPr>
        <w:keepNext w:val="0"/>
        <w:keepLines w:val="0"/>
        <w:pageBreakBefore w:val="0"/>
        <w:widowControl w:val="0"/>
        <w:kinsoku/>
        <w:wordWrap/>
        <w:overflowPunct/>
        <w:topLinePunct w:val="0"/>
        <w:autoSpaceDE/>
        <w:autoSpaceDN/>
        <w:bidi w:val="0"/>
        <w:adjustRightInd/>
        <w:snapToGrid/>
        <w:spacing w:line="240" w:lineRule="auto"/>
        <w:ind w:left="0" w:leftChars="0" w:right="0" w:firstLine="640" w:firstLineChars="200"/>
        <w:jc w:val="both"/>
        <w:textAlignment w:val="auto"/>
        <w:rPr>
          <w:rFonts w:hint="eastAsia" w:ascii="仿宋_GB2312" w:hAnsi="Times New Roman" w:eastAsia="仿宋_GB2312" w:cs="Times New Roman"/>
          <w:b w:val="0"/>
          <w:bCs w:val="0"/>
          <w:sz w:val="32"/>
          <w:lang w:val="en-US" w:eastAsia="zh-CN"/>
        </w:rPr>
      </w:pPr>
      <w:r>
        <w:rPr>
          <w:rFonts w:hint="eastAsia" w:ascii="仿宋_GB2312" w:hAnsi="Times New Roman" w:eastAsia="仿宋_GB2312" w:cs="Times New Roman"/>
          <w:b w:val="0"/>
          <w:bCs w:val="0"/>
          <w:sz w:val="32"/>
          <w:lang w:val="en-US" w:eastAsia="zh-CN"/>
        </w:rPr>
        <w:t>（1）应聘过程提供虚假信息的，包含但不限于以下方面：在招聘平台填写的信息不真实或失效的；伪造、涂改各类证书、学历学位及相关资格证书、获奖证明的；修改毕业院校、所学专业名称的；隐瞒个人真实情况的，包括身体状况、学习（工作）经历、签约现状等。</w:t>
      </w:r>
    </w:p>
    <w:p>
      <w:pPr>
        <w:keepNext w:val="0"/>
        <w:keepLines w:val="0"/>
        <w:pageBreakBefore w:val="0"/>
        <w:widowControl w:val="0"/>
        <w:kinsoku/>
        <w:wordWrap/>
        <w:overflowPunct/>
        <w:topLinePunct w:val="0"/>
        <w:autoSpaceDE/>
        <w:autoSpaceDN/>
        <w:bidi w:val="0"/>
        <w:adjustRightInd/>
        <w:snapToGrid/>
        <w:spacing w:line="240" w:lineRule="auto"/>
        <w:ind w:left="0" w:leftChars="0" w:right="0" w:firstLine="640" w:firstLineChars="200"/>
        <w:jc w:val="both"/>
        <w:textAlignment w:val="auto"/>
        <w:rPr>
          <w:rFonts w:hint="eastAsia" w:ascii="仿宋_GB2312" w:hAnsi="Times New Roman" w:eastAsia="仿宋_GB2312" w:cs="Times New Roman"/>
          <w:b w:val="0"/>
          <w:bCs w:val="0"/>
          <w:sz w:val="32"/>
          <w:lang w:val="en-US" w:eastAsia="zh-CN"/>
        </w:rPr>
      </w:pPr>
      <w:r>
        <w:rPr>
          <w:rFonts w:hint="eastAsia" w:ascii="仿宋_GB2312" w:hAnsi="Times New Roman" w:eastAsia="仿宋_GB2312" w:cs="Times New Roman"/>
          <w:b w:val="0"/>
          <w:bCs w:val="0"/>
          <w:sz w:val="32"/>
          <w:lang w:val="en-US" w:eastAsia="zh-CN"/>
        </w:rPr>
        <w:t>（2）应聘考试中作弊或协助他人作弊、传播考试试题的，以及发生其他违反考试或招聘纪律情形的。</w:t>
      </w:r>
    </w:p>
    <w:p>
      <w:pPr>
        <w:keepNext w:val="0"/>
        <w:keepLines w:val="0"/>
        <w:pageBreakBefore w:val="0"/>
        <w:widowControl w:val="0"/>
        <w:kinsoku/>
        <w:wordWrap/>
        <w:overflowPunct/>
        <w:topLinePunct w:val="0"/>
        <w:autoSpaceDE/>
        <w:autoSpaceDN/>
        <w:bidi w:val="0"/>
        <w:adjustRightInd/>
        <w:snapToGrid/>
        <w:spacing w:line="240" w:lineRule="auto"/>
        <w:ind w:left="0" w:leftChars="0" w:right="0" w:firstLine="640" w:firstLineChars="200"/>
        <w:jc w:val="both"/>
        <w:textAlignment w:val="auto"/>
        <w:rPr>
          <w:rFonts w:hint="eastAsia" w:ascii="仿宋_GB2312" w:hAnsi="Times New Roman" w:eastAsia="仿宋_GB2312" w:cs="Times New Roman"/>
          <w:b w:val="0"/>
          <w:bCs w:val="0"/>
          <w:sz w:val="32"/>
          <w:lang w:val="en-US" w:eastAsia="zh-CN"/>
        </w:rPr>
      </w:pPr>
      <w:r>
        <w:rPr>
          <w:rFonts w:hint="eastAsia" w:ascii="仿宋_GB2312" w:hAnsi="Times New Roman" w:eastAsia="仿宋_GB2312" w:cs="Times New Roman"/>
          <w:b w:val="0"/>
          <w:bCs w:val="0"/>
          <w:sz w:val="32"/>
          <w:lang w:val="en-US" w:eastAsia="zh-CN"/>
        </w:rPr>
        <w:t>（3）破坏公司招聘秩序，在网络及其他媒体上造谣生事、发表损害公司形象、影响招聘秩序言论的。</w:t>
      </w:r>
    </w:p>
    <w:p>
      <w:pPr>
        <w:keepNext w:val="0"/>
        <w:keepLines w:val="0"/>
        <w:pageBreakBefore w:val="0"/>
        <w:widowControl w:val="0"/>
        <w:kinsoku/>
        <w:wordWrap/>
        <w:overflowPunct/>
        <w:topLinePunct w:val="0"/>
        <w:autoSpaceDE/>
        <w:autoSpaceDN/>
        <w:bidi w:val="0"/>
        <w:adjustRightInd/>
        <w:snapToGrid/>
        <w:spacing w:line="240" w:lineRule="auto"/>
        <w:ind w:left="0" w:leftChars="0" w:right="0" w:firstLine="640" w:firstLineChars="200"/>
        <w:jc w:val="both"/>
        <w:textAlignment w:val="auto"/>
        <w:rPr>
          <w:rFonts w:hint="eastAsia" w:ascii="仿宋_GB2312" w:hAnsi="Times New Roman" w:eastAsia="仿宋_GB2312" w:cs="Times New Roman"/>
          <w:b w:val="0"/>
          <w:bCs w:val="0"/>
          <w:sz w:val="32"/>
          <w:lang w:val="en-US" w:eastAsia="zh-CN"/>
        </w:rPr>
      </w:pPr>
      <w:r>
        <w:rPr>
          <w:rFonts w:hint="eastAsia" w:ascii="仿宋_GB2312" w:hAnsi="Times New Roman" w:eastAsia="仿宋_GB2312" w:cs="Times New Roman"/>
          <w:b w:val="0"/>
          <w:bCs w:val="0"/>
          <w:sz w:val="32"/>
          <w:lang w:val="en-US" w:eastAsia="zh-CN"/>
        </w:rPr>
        <w:t>（4）携带手机、耳机、智能手表等通讯设备，或摄像、录像等电子设备进入笔试或面试场地的。</w:t>
      </w:r>
    </w:p>
    <w:p>
      <w:pPr>
        <w:keepNext w:val="0"/>
        <w:keepLines w:val="0"/>
        <w:pageBreakBefore w:val="0"/>
        <w:widowControl w:val="0"/>
        <w:kinsoku/>
        <w:wordWrap/>
        <w:overflowPunct/>
        <w:topLinePunct w:val="0"/>
        <w:autoSpaceDE/>
        <w:autoSpaceDN/>
        <w:bidi w:val="0"/>
        <w:adjustRightInd/>
        <w:snapToGrid/>
        <w:spacing w:line="240" w:lineRule="auto"/>
        <w:ind w:left="0" w:leftChars="0" w:right="0" w:firstLine="640" w:firstLineChars="200"/>
        <w:jc w:val="both"/>
        <w:textAlignment w:val="auto"/>
        <w:rPr>
          <w:rFonts w:hint="eastAsia" w:ascii="仿宋_GB2312" w:hAnsi="Times New Roman" w:eastAsia="仿宋_GB2312" w:cs="Times New Roman"/>
          <w:b w:val="0"/>
          <w:bCs w:val="0"/>
          <w:sz w:val="32"/>
          <w:lang w:val="en-US" w:eastAsia="zh-CN"/>
        </w:rPr>
      </w:pPr>
      <w:r>
        <w:rPr>
          <w:rFonts w:hint="eastAsia" w:ascii="仿宋_GB2312" w:hAnsi="Times New Roman" w:eastAsia="仿宋_GB2312" w:cs="Times New Roman"/>
          <w:b w:val="0"/>
          <w:bCs w:val="0"/>
          <w:sz w:val="32"/>
          <w:lang w:val="en-US" w:eastAsia="zh-CN"/>
        </w:rPr>
        <w:t>（5）体检过程中弄虚作假或未按照规定时间和地点参加体检、复检的。</w:t>
      </w:r>
    </w:p>
    <w:p>
      <w:pPr>
        <w:keepNext w:val="0"/>
        <w:keepLines w:val="0"/>
        <w:pageBreakBefore w:val="0"/>
        <w:widowControl w:val="0"/>
        <w:kinsoku/>
        <w:wordWrap/>
        <w:overflowPunct/>
        <w:topLinePunct w:val="0"/>
        <w:autoSpaceDE/>
        <w:autoSpaceDN/>
        <w:bidi w:val="0"/>
        <w:adjustRightInd/>
        <w:snapToGrid/>
        <w:spacing w:line="240" w:lineRule="auto"/>
        <w:ind w:left="0" w:leftChars="0" w:right="0" w:firstLine="640" w:firstLineChars="200"/>
        <w:jc w:val="both"/>
        <w:textAlignment w:val="auto"/>
        <w:rPr>
          <w:rFonts w:hint="eastAsia" w:ascii="仿宋_GB2312" w:hAnsi="Times New Roman" w:eastAsia="仿宋_GB2312" w:cs="Times New Roman"/>
          <w:b w:val="0"/>
          <w:bCs w:val="0"/>
          <w:sz w:val="32"/>
          <w:lang w:val="en-US" w:eastAsia="zh-CN"/>
        </w:rPr>
      </w:pPr>
      <w:r>
        <w:rPr>
          <w:rFonts w:hint="eastAsia" w:ascii="仿宋_GB2312" w:hAnsi="Times New Roman" w:eastAsia="仿宋_GB2312" w:cs="Times New Roman"/>
          <w:b w:val="0"/>
          <w:bCs w:val="0"/>
          <w:sz w:val="32"/>
          <w:lang w:val="en-US" w:eastAsia="zh-CN"/>
        </w:rPr>
        <w:t>（6）应予取消资格的其他情形。</w:t>
      </w:r>
    </w:p>
    <w:p>
      <w:pPr>
        <w:keepNext w:val="0"/>
        <w:keepLines w:val="0"/>
        <w:pageBreakBefore w:val="0"/>
        <w:widowControl w:val="0"/>
        <w:kinsoku/>
        <w:wordWrap/>
        <w:overflowPunct/>
        <w:topLinePunct w:val="0"/>
        <w:autoSpaceDE/>
        <w:autoSpaceDN/>
        <w:bidi w:val="0"/>
        <w:adjustRightInd/>
        <w:snapToGrid/>
        <w:spacing w:line="240" w:lineRule="auto"/>
        <w:ind w:left="0" w:leftChars="0" w:right="0" w:firstLine="640" w:firstLineChars="200"/>
        <w:jc w:val="both"/>
        <w:textAlignment w:val="auto"/>
        <w:rPr>
          <w:rFonts w:hint="eastAsia" w:ascii="仿宋_GB2312" w:hAnsi="Times New Roman" w:eastAsia="仿宋_GB2312" w:cs="Times New Roman"/>
          <w:b w:val="0"/>
          <w:bCs w:val="0"/>
          <w:sz w:val="32"/>
          <w:lang w:val="en-US" w:eastAsia="zh-CN"/>
        </w:rPr>
      </w:pPr>
      <w:r>
        <w:rPr>
          <w:rFonts w:hint="eastAsia" w:ascii="仿宋_GB2312" w:hAnsi="Times New Roman" w:eastAsia="仿宋_GB2312" w:cs="Times New Roman"/>
          <w:b w:val="0"/>
          <w:bCs w:val="0"/>
          <w:sz w:val="32"/>
          <w:lang w:val="en-US" w:eastAsia="zh-CN"/>
        </w:rPr>
        <w:t>2.公司不组织任何形式的考前培训班。</w:t>
      </w:r>
    </w:p>
    <w:p>
      <w:pPr>
        <w:keepNext w:val="0"/>
        <w:keepLines w:val="0"/>
        <w:pageBreakBefore w:val="0"/>
        <w:widowControl w:val="0"/>
        <w:kinsoku/>
        <w:wordWrap/>
        <w:overflowPunct/>
        <w:topLinePunct w:val="0"/>
        <w:autoSpaceDE/>
        <w:autoSpaceDN/>
        <w:bidi w:val="0"/>
        <w:adjustRightInd/>
        <w:snapToGrid/>
        <w:spacing w:line="240" w:lineRule="auto"/>
        <w:ind w:left="0" w:leftChars="0" w:right="0" w:firstLine="640" w:firstLineChars="200"/>
        <w:jc w:val="both"/>
        <w:textAlignment w:val="auto"/>
        <w:rPr>
          <w:rFonts w:hint="eastAsia" w:ascii="仿宋_GB2312" w:hAnsi="Times New Roman" w:eastAsia="仿宋_GB2312" w:cs="Times New Roman"/>
          <w:b w:val="0"/>
          <w:bCs w:val="0"/>
          <w:sz w:val="32"/>
          <w:lang w:val="en-US" w:eastAsia="zh-CN"/>
        </w:rPr>
      </w:pPr>
      <w:r>
        <w:rPr>
          <w:rFonts w:hint="eastAsia" w:ascii="仿宋_GB2312" w:hAnsi="Times New Roman" w:eastAsia="仿宋_GB2312" w:cs="Times New Roman"/>
          <w:b w:val="0"/>
          <w:bCs w:val="0"/>
          <w:sz w:val="32"/>
          <w:lang w:val="en-US" w:eastAsia="zh-CN"/>
        </w:rPr>
        <w:t>3.请应聘者关注报名单位的相应通知，合理规划行程，避免影响参加相应招聘活动。</w:t>
      </w:r>
    </w:p>
    <w:p>
      <w:pPr>
        <w:keepNext w:val="0"/>
        <w:keepLines w:val="0"/>
        <w:pageBreakBefore w:val="0"/>
        <w:widowControl w:val="0"/>
        <w:kinsoku/>
        <w:wordWrap/>
        <w:overflowPunct/>
        <w:topLinePunct w:val="0"/>
        <w:autoSpaceDE/>
        <w:autoSpaceDN/>
        <w:bidi w:val="0"/>
        <w:adjustRightInd/>
        <w:snapToGrid/>
        <w:spacing w:line="240" w:lineRule="auto"/>
        <w:ind w:left="0" w:leftChars="0" w:right="0" w:firstLine="640" w:firstLineChars="200"/>
        <w:jc w:val="both"/>
        <w:textAlignment w:val="auto"/>
        <w:rPr>
          <w:rFonts w:hint="eastAsia" w:ascii="仿宋_GB2312" w:hAnsi="Times New Roman" w:eastAsia="仿宋_GB2312" w:cs="Times New Roman"/>
          <w:b w:val="0"/>
          <w:bCs w:val="0"/>
          <w:sz w:val="32"/>
          <w:lang w:val="en-US" w:eastAsia="zh-CN"/>
        </w:rPr>
      </w:pPr>
      <w:r>
        <w:rPr>
          <w:rFonts w:hint="eastAsia" w:ascii="仿宋_GB2312" w:hAnsi="Times New Roman" w:eastAsia="仿宋_GB2312" w:cs="Times New Roman"/>
          <w:b w:val="0"/>
          <w:bCs w:val="0"/>
          <w:sz w:val="32"/>
          <w:lang w:val="en-US" w:eastAsia="zh-CN"/>
        </w:rPr>
        <w:t>详情请见各光明电力服务公司招聘公告。</w:t>
      </w:r>
    </w:p>
    <w:p>
      <w:pPr>
        <w:rPr>
          <w:rFonts w:hint="eastAsia" w:ascii="仿宋_GB2312" w:hAnsi="宋体" w:eastAsia="仿宋_GB2312"/>
          <w:b w:val="0"/>
          <w:bCs w:val="0"/>
          <w:sz w:val="32"/>
        </w:rPr>
      </w:pPr>
      <w:r>
        <w:rPr>
          <w:rFonts w:hint="eastAsia" w:ascii="仿宋_GB2312" w:hAnsi="宋体" w:eastAsia="仿宋_GB2312"/>
          <w:b w:val="0"/>
          <w:bCs w:val="0"/>
          <w:sz w:val="32"/>
        </w:rPr>
        <w:br w:type="page"/>
      </w:r>
    </w:p>
    <w:p>
      <w:pPr>
        <w:bidi w:val="0"/>
        <w:jc w:val="left"/>
        <w:rPr>
          <w:rFonts w:hint="eastAsia" w:ascii="仿宋_GB2312" w:hAnsi="宋体" w:eastAsia="仿宋_GB2312"/>
          <w:b w:val="0"/>
          <w:bCs w:val="0"/>
          <w:sz w:val="32"/>
        </w:rPr>
      </w:pPr>
      <w:r>
        <w:rPr>
          <w:rFonts w:hint="eastAsia" w:ascii="仿宋_GB2312" w:hAnsi="宋体" w:eastAsia="仿宋_GB2312"/>
          <w:b w:val="0"/>
          <w:bCs w:val="0"/>
          <w:sz w:val="32"/>
        </w:rPr>
        <w:t>附</w:t>
      </w:r>
      <w:r>
        <w:rPr>
          <w:rFonts w:hint="eastAsia" w:ascii="仿宋_GB2312" w:hAnsi="宋体" w:eastAsia="仿宋_GB2312"/>
          <w:b w:val="0"/>
          <w:bCs w:val="0"/>
          <w:sz w:val="32"/>
          <w:lang w:val="en-US" w:eastAsia="zh-CN"/>
        </w:rPr>
        <w:t>件1</w:t>
      </w:r>
      <w:r>
        <w:rPr>
          <w:rFonts w:hint="eastAsia" w:ascii="仿宋_GB2312" w:hAnsi="宋体" w:eastAsia="仿宋_GB2312"/>
          <w:b w:val="0"/>
          <w:bCs w:val="0"/>
          <w:sz w:val="32"/>
        </w:rPr>
        <w:t>：</w:t>
      </w:r>
    </w:p>
    <w:p>
      <w:pPr>
        <w:ind w:firstLine="840" w:firstLineChars="300"/>
        <w:jc w:val="center"/>
        <w:rPr>
          <w:rFonts w:hint="eastAsia"/>
        </w:rPr>
      </w:pPr>
      <w:r>
        <w:rPr>
          <w:rFonts w:hint="eastAsia" w:ascii="宋体" w:hAnsi="宋体" w:eastAsia="宋体" w:cs="宋体"/>
          <w:b w:val="0"/>
          <w:bCs w:val="0"/>
          <w:color w:val="auto"/>
          <w:sz w:val="28"/>
          <w:szCs w:val="28"/>
          <w:lang w:val="en-US" w:eastAsia="zh-CN"/>
        </w:rPr>
        <w:t>2025年山东地区光明电力服务公司招聘考试大纲</w:t>
      </w:r>
    </w:p>
    <w:p>
      <w:pPr>
        <w:ind w:firstLine="900" w:firstLineChars="300"/>
        <w:jc w:val="center"/>
        <w:rPr>
          <w:rFonts w:hint="eastAsia" w:ascii="仿宋_GB2312" w:hAnsi="Times New Roman" w:eastAsia="仿宋_GB2312" w:cs="Times New Roman"/>
          <w:b w:val="0"/>
          <w:bCs w:val="0"/>
          <w:sz w:val="36"/>
          <w:szCs w:val="36"/>
          <w:lang w:val="en-US" w:eastAsia="zh-CN"/>
        </w:rPr>
      </w:pPr>
      <w:r>
        <w:rPr>
          <w:rFonts w:hint="eastAsia" w:ascii="宋体" w:hAnsi="宋体" w:eastAsia="宋体" w:cs="宋体"/>
          <w:b w:val="0"/>
          <w:bCs w:val="0"/>
          <w:color w:val="auto"/>
          <w:sz w:val="30"/>
          <w:szCs w:val="30"/>
          <w:lang w:val="en-US" w:eastAsia="zh-CN"/>
        </w:rPr>
        <w:t>（电工类专业版）</w:t>
      </w:r>
    </w:p>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一、综合能力测试（占比 40%）</w:t>
      </w:r>
    </w:p>
    <w:tbl>
      <w:tblPr>
        <w:tblStyle w:val="6"/>
        <w:tblW w:w="0" w:type="auto"/>
        <w:tblInd w:w="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21"/>
        <w:gridCol w:w="73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trPr>
        <w:tc>
          <w:tcPr>
            <w:tcW w:w="1421" w:type="dxa"/>
          </w:tcPr>
          <w:p>
            <w:pPr>
              <w:keepNext w:val="0"/>
              <w:keepLines w:val="0"/>
              <w:pageBreakBefore w:val="0"/>
              <w:widowControl/>
              <w:kinsoku/>
              <w:overflowPunct/>
              <w:topLinePunct w:val="0"/>
              <w:autoSpaceDE/>
              <w:autoSpaceDN/>
              <w:bidi w:val="0"/>
              <w:snapToGrid/>
              <w:spacing w:line="240" w:lineRule="auto"/>
              <w:ind w:right="0"/>
              <w:jc w:val="center"/>
              <w:textAlignment w:val="auto"/>
              <w:rPr>
                <w:rFonts w:ascii="Microsoft JhengHei" w:eastAsia="Microsoft JhengHei"/>
                <w:b/>
                <w:sz w:val="24"/>
              </w:rPr>
            </w:pPr>
            <w:r>
              <w:rPr>
                <w:rFonts w:hint="eastAsia" w:ascii="仿宋_GB2312" w:hAnsi="宋体" w:eastAsia="仿宋_GB2312" w:cs="Times New Roman"/>
                <w:b w:val="0"/>
                <w:bCs w:val="0"/>
                <w:color w:val="auto"/>
                <w:kern w:val="0"/>
                <w:sz w:val="28"/>
              </w:rPr>
              <w:t>类别</w:t>
            </w:r>
          </w:p>
        </w:tc>
        <w:tc>
          <w:tcPr>
            <w:tcW w:w="7349" w:type="dxa"/>
          </w:tcPr>
          <w:p>
            <w:pPr>
              <w:keepNext w:val="0"/>
              <w:keepLines w:val="0"/>
              <w:pageBreakBefore w:val="0"/>
              <w:widowControl/>
              <w:kinsoku/>
              <w:overflowPunct/>
              <w:topLinePunct w:val="0"/>
              <w:autoSpaceDE/>
              <w:autoSpaceDN/>
              <w:bidi w:val="0"/>
              <w:snapToGrid/>
              <w:spacing w:line="240" w:lineRule="auto"/>
              <w:ind w:right="0"/>
              <w:jc w:val="center"/>
              <w:textAlignment w:val="auto"/>
              <w:rPr>
                <w:rFonts w:ascii="Microsoft JhengHei" w:eastAsia="Microsoft JhengHei"/>
                <w:b/>
                <w:sz w:val="24"/>
              </w:rPr>
            </w:pPr>
            <w:r>
              <w:rPr>
                <w:rFonts w:hint="eastAsia" w:ascii="仿宋_GB2312" w:hAnsi="宋体" w:eastAsia="仿宋_GB2312" w:cs="Times New Roman"/>
                <w:b w:val="0"/>
                <w:bCs w:val="0"/>
                <w:color w:val="auto"/>
                <w:kern w:val="0"/>
                <w:sz w:val="28"/>
              </w:rPr>
              <w:t>考察内容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1421" w:type="dxa"/>
            <w:vMerge w:val="restart"/>
            <w:vAlign w:val="top"/>
          </w:tcPr>
          <w:p>
            <w:pPr>
              <w:keepNext w:val="0"/>
              <w:keepLines w:val="0"/>
              <w:pageBreakBefore w:val="0"/>
              <w:widowControl/>
              <w:kinsoku/>
              <w:overflowPunct/>
              <w:topLinePunct w:val="0"/>
              <w:autoSpaceDE/>
              <w:autoSpaceDN/>
              <w:bidi w:val="0"/>
              <w:snapToGrid/>
              <w:spacing w:line="240" w:lineRule="auto"/>
              <w:ind w:right="0"/>
              <w:jc w:val="center"/>
              <w:textAlignment w:val="auto"/>
              <w:rPr>
                <w:rFonts w:hint="eastAsia" w:ascii="宋体" w:hAnsi="宋体" w:eastAsia="宋体" w:cs="宋体"/>
                <w:b w:val="0"/>
                <w:bCs w:val="0"/>
                <w:color w:val="auto"/>
                <w:kern w:val="0"/>
                <w:sz w:val="21"/>
                <w:szCs w:val="21"/>
                <w:lang w:eastAsia="zh-CN"/>
              </w:rPr>
            </w:pPr>
          </w:p>
          <w:p>
            <w:pPr>
              <w:keepNext w:val="0"/>
              <w:keepLines w:val="0"/>
              <w:pageBreakBefore w:val="0"/>
              <w:widowControl/>
              <w:kinsoku/>
              <w:overflowPunct/>
              <w:topLinePunct w:val="0"/>
              <w:autoSpaceDE/>
              <w:autoSpaceDN/>
              <w:bidi w:val="0"/>
              <w:snapToGrid/>
              <w:spacing w:line="240" w:lineRule="auto"/>
              <w:ind w:right="0"/>
              <w:jc w:val="center"/>
              <w:textAlignment w:val="auto"/>
              <w:rPr>
                <w:rFonts w:hint="eastAsia" w:ascii="宋体" w:hAnsi="宋体" w:eastAsia="宋体" w:cs="宋体"/>
                <w:b w:val="0"/>
                <w:bCs w:val="0"/>
                <w:color w:val="auto"/>
                <w:kern w:val="0"/>
                <w:sz w:val="21"/>
                <w:szCs w:val="21"/>
                <w:lang w:eastAsia="zh-CN"/>
              </w:rPr>
            </w:pPr>
          </w:p>
          <w:p>
            <w:pPr>
              <w:keepNext w:val="0"/>
              <w:keepLines w:val="0"/>
              <w:pageBreakBefore w:val="0"/>
              <w:widowControl/>
              <w:kinsoku/>
              <w:overflowPunct/>
              <w:topLinePunct w:val="0"/>
              <w:autoSpaceDE/>
              <w:autoSpaceDN/>
              <w:bidi w:val="0"/>
              <w:snapToGrid/>
              <w:spacing w:line="240" w:lineRule="auto"/>
              <w:ind w:right="0"/>
              <w:jc w:val="center"/>
              <w:textAlignment w:val="auto"/>
              <w:rPr>
                <w:rFonts w:hint="eastAsia" w:ascii="宋体" w:hAnsi="宋体" w:eastAsia="宋体" w:cs="宋体"/>
                <w:b w:val="0"/>
                <w:bCs w:val="0"/>
                <w:color w:val="auto"/>
                <w:kern w:val="0"/>
                <w:sz w:val="21"/>
                <w:szCs w:val="21"/>
                <w:lang w:eastAsia="zh-CN"/>
              </w:rPr>
            </w:pPr>
          </w:p>
          <w:p>
            <w:pPr>
              <w:keepNext w:val="0"/>
              <w:keepLines w:val="0"/>
              <w:pageBreakBefore w:val="0"/>
              <w:widowControl/>
              <w:kinsoku/>
              <w:overflowPunct/>
              <w:topLinePunct w:val="0"/>
              <w:autoSpaceDE/>
              <w:autoSpaceDN/>
              <w:bidi w:val="0"/>
              <w:snapToGrid/>
              <w:spacing w:line="240" w:lineRule="auto"/>
              <w:ind w:right="0"/>
              <w:jc w:val="center"/>
              <w:textAlignment w:val="auto"/>
              <w:rPr>
                <w:rFonts w:hint="eastAsia" w:ascii="宋体" w:hAnsi="宋体" w:eastAsia="宋体" w:cs="宋体"/>
                <w:b w:val="0"/>
                <w:bCs w:val="0"/>
                <w:color w:val="auto"/>
                <w:kern w:val="0"/>
                <w:sz w:val="21"/>
                <w:szCs w:val="21"/>
                <w:lang w:eastAsia="zh-CN"/>
              </w:rPr>
            </w:pPr>
          </w:p>
          <w:p>
            <w:pPr>
              <w:keepNext w:val="0"/>
              <w:keepLines w:val="0"/>
              <w:pageBreakBefore w:val="0"/>
              <w:widowControl/>
              <w:kinsoku/>
              <w:overflowPunct/>
              <w:topLinePunct w:val="0"/>
              <w:autoSpaceDE/>
              <w:autoSpaceDN/>
              <w:bidi w:val="0"/>
              <w:snapToGrid/>
              <w:spacing w:line="240" w:lineRule="auto"/>
              <w:ind w:right="0"/>
              <w:jc w:val="center"/>
              <w:textAlignment w:val="auto"/>
              <w:rPr>
                <w:rFonts w:hint="eastAsia" w:ascii="宋体" w:hAnsi="宋体" w:eastAsia="宋体" w:cs="宋体"/>
                <w:b w:val="0"/>
                <w:bCs w:val="0"/>
                <w:color w:val="auto"/>
                <w:kern w:val="0"/>
                <w:sz w:val="21"/>
                <w:szCs w:val="21"/>
                <w:lang w:eastAsia="zh-CN"/>
              </w:rPr>
            </w:pPr>
          </w:p>
          <w:p>
            <w:pPr>
              <w:keepNext w:val="0"/>
              <w:keepLines w:val="0"/>
              <w:pageBreakBefore w:val="0"/>
              <w:widowControl/>
              <w:kinsoku/>
              <w:overflowPunct/>
              <w:topLinePunct w:val="0"/>
              <w:autoSpaceDE/>
              <w:autoSpaceDN/>
              <w:bidi w:val="0"/>
              <w:snapToGrid/>
              <w:spacing w:line="240" w:lineRule="auto"/>
              <w:ind w:right="0"/>
              <w:jc w:val="center"/>
              <w:textAlignment w:val="auto"/>
              <w:rPr>
                <w:rFonts w:hint="eastAsia" w:ascii="宋体" w:hAnsi="宋体" w:eastAsia="宋体" w:cs="宋体"/>
                <w:b w:val="0"/>
                <w:bCs w:val="0"/>
                <w:color w:val="auto"/>
                <w:kern w:val="0"/>
                <w:sz w:val="21"/>
                <w:szCs w:val="21"/>
                <w:lang w:eastAsia="zh-CN"/>
              </w:rPr>
            </w:pPr>
          </w:p>
          <w:p>
            <w:pPr>
              <w:keepNext w:val="0"/>
              <w:keepLines w:val="0"/>
              <w:pageBreakBefore w:val="0"/>
              <w:widowControl/>
              <w:kinsoku/>
              <w:wordWrap/>
              <w:overflowPunct/>
              <w:topLinePunct w:val="0"/>
              <w:autoSpaceDE/>
              <w:autoSpaceDN/>
              <w:bidi w:val="0"/>
              <w:adjustRightInd/>
              <w:snapToGrid/>
              <w:spacing w:line="240" w:lineRule="auto"/>
              <w:ind w:right="0"/>
              <w:jc w:val="center"/>
              <w:textAlignment w:val="auto"/>
              <w:rPr>
                <w:rFonts w:hint="eastAsia" w:ascii="宋体" w:hAnsi="宋体" w:eastAsia="宋体" w:cs="宋体"/>
                <w:b w:val="0"/>
                <w:bCs w:val="0"/>
                <w:color w:val="auto"/>
                <w:kern w:val="0"/>
                <w:sz w:val="21"/>
                <w:szCs w:val="21"/>
                <w:lang w:eastAsia="zh-CN"/>
              </w:rPr>
            </w:pPr>
            <w:r>
              <w:rPr>
                <w:rFonts w:hint="eastAsia" w:ascii="宋体" w:hAnsi="宋体" w:eastAsia="宋体" w:cs="宋体"/>
                <w:b w:val="0"/>
                <w:bCs w:val="0"/>
                <w:color w:val="auto"/>
                <w:kern w:val="0"/>
                <w:sz w:val="21"/>
                <w:szCs w:val="21"/>
                <w:lang w:eastAsia="zh-CN"/>
              </w:rPr>
              <w:t>一般能力</w:t>
            </w:r>
          </w:p>
        </w:tc>
        <w:tc>
          <w:tcPr>
            <w:tcW w:w="7349" w:type="dxa"/>
            <w:vAlign w:val="center"/>
          </w:tcPr>
          <w:p>
            <w:pPr>
              <w:keepNext w:val="0"/>
              <w:keepLines w:val="0"/>
              <w:pageBreakBefore w:val="0"/>
              <w:widowControl/>
              <w:kinsoku/>
              <w:wordWrap/>
              <w:overflowPunct/>
              <w:topLinePunct w:val="0"/>
              <w:autoSpaceDE/>
              <w:autoSpaceDN/>
              <w:bidi w:val="0"/>
              <w:adjustRightInd/>
              <w:snapToGrid/>
              <w:spacing w:line="240" w:lineRule="auto"/>
              <w:ind w:right="0"/>
              <w:jc w:val="both"/>
              <w:textAlignment w:val="auto"/>
              <w:rPr>
                <w:sz w:val="24"/>
              </w:rPr>
            </w:pPr>
            <w:r>
              <w:rPr>
                <w:rFonts w:hint="eastAsia" w:ascii="宋体" w:hAnsi="宋体" w:eastAsia="宋体" w:cs="宋体"/>
                <w:b w:val="0"/>
                <w:bCs w:val="0"/>
                <w:color w:val="auto"/>
                <w:kern w:val="0"/>
                <w:sz w:val="21"/>
                <w:szCs w:val="21"/>
                <w:lang w:eastAsia="zh-CN"/>
              </w:rPr>
              <w:t>言语理解与表达：主要考察应试者运用语言文字进行交流和思考、迅速而又准确地理解文字材料内涵的能力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6" w:hRule="atLeast"/>
        </w:trPr>
        <w:tc>
          <w:tcPr>
            <w:tcW w:w="1421" w:type="dxa"/>
            <w:vMerge w:val="continue"/>
            <w:tcBorders>
              <w:top w:val="nil"/>
            </w:tcBorders>
            <w:vAlign w:val="center"/>
          </w:tcPr>
          <w:p>
            <w:pPr>
              <w:keepNext w:val="0"/>
              <w:keepLines w:val="0"/>
              <w:pageBreakBefore w:val="0"/>
              <w:widowControl/>
              <w:kinsoku/>
              <w:overflowPunct/>
              <w:topLinePunct w:val="0"/>
              <w:autoSpaceDE/>
              <w:autoSpaceDN/>
              <w:bidi w:val="0"/>
              <w:snapToGrid/>
              <w:spacing w:line="240" w:lineRule="auto"/>
              <w:ind w:right="0"/>
              <w:jc w:val="center"/>
              <w:textAlignment w:val="auto"/>
              <w:rPr>
                <w:rFonts w:hint="eastAsia" w:ascii="宋体" w:hAnsi="宋体" w:eastAsia="宋体" w:cs="宋体"/>
                <w:b w:val="0"/>
                <w:bCs w:val="0"/>
                <w:color w:val="auto"/>
                <w:kern w:val="0"/>
                <w:sz w:val="21"/>
                <w:szCs w:val="21"/>
                <w:lang w:eastAsia="zh-CN"/>
              </w:rPr>
            </w:pPr>
          </w:p>
        </w:tc>
        <w:tc>
          <w:tcPr>
            <w:tcW w:w="7349" w:type="dxa"/>
            <w:vAlign w:val="center"/>
          </w:tcPr>
          <w:p>
            <w:pPr>
              <w:keepNext w:val="0"/>
              <w:keepLines w:val="0"/>
              <w:pageBreakBefore w:val="0"/>
              <w:widowControl/>
              <w:kinsoku/>
              <w:wordWrap/>
              <w:overflowPunct/>
              <w:topLinePunct w:val="0"/>
              <w:autoSpaceDE/>
              <w:autoSpaceDN/>
              <w:bidi w:val="0"/>
              <w:adjustRightInd/>
              <w:snapToGrid/>
              <w:spacing w:line="240" w:lineRule="auto"/>
              <w:ind w:right="0"/>
              <w:jc w:val="both"/>
              <w:textAlignment w:val="auto"/>
              <w:rPr>
                <w:rFonts w:hint="eastAsia" w:ascii="宋体" w:hAnsi="宋体" w:eastAsia="宋体" w:cs="宋体"/>
                <w:b w:val="0"/>
                <w:bCs w:val="0"/>
                <w:color w:val="auto"/>
                <w:kern w:val="0"/>
                <w:sz w:val="21"/>
                <w:szCs w:val="21"/>
                <w:lang w:eastAsia="zh-CN"/>
              </w:rPr>
            </w:pPr>
            <w:r>
              <w:rPr>
                <w:rFonts w:hint="eastAsia" w:ascii="宋体" w:hAnsi="宋体" w:eastAsia="宋体" w:cs="宋体"/>
                <w:b w:val="0"/>
                <w:bCs w:val="0"/>
                <w:color w:val="auto"/>
                <w:kern w:val="0"/>
                <w:sz w:val="21"/>
                <w:szCs w:val="21"/>
                <w:lang w:eastAsia="zh-CN"/>
              </w:rPr>
              <w:t>判断推理：主要考察应试者对各种事物关系的分析推理能力，涉及对图形、语词概念、事物关系和文字材料的理解、比较、组合、演绎和归纳等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2" w:hRule="atLeast"/>
        </w:trPr>
        <w:tc>
          <w:tcPr>
            <w:tcW w:w="1421" w:type="dxa"/>
            <w:vMerge w:val="continue"/>
            <w:tcBorders>
              <w:top w:val="nil"/>
            </w:tcBorders>
            <w:vAlign w:val="center"/>
          </w:tcPr>
          <w:p>
            <w:pPr>
              <w:keepNext w:val="0"/>
              <w:keepLines w:val="0"/>
              <w:pageBreakBefore w:val="0"/>
              <w:widowControl/>
              <w:kinsoku/>
              <w:overflowPunct/>
              <w:topLinePunct w:val="0"/>
              <w:autoSpaceDE/>
              <w:autoSpaceDN/>
              <w:bidi w:val="0"/>
              <w:snapToGrid/>
              <w:spacing w:line="240" w:lineRule="auto"/>
              <w:ind w:right="0"/>
              <w:jc w:val="center"/>
              <w:textAlignment w:val="auto"/>
              <w:rPr>
                <w:rFonts w:hint="eastAsia" w:ascii="宋体" w:hAnsi="宋体" w:eastAsia="宋体" w:cs="宋体"/>
                <w:b w:val="0"/>
                <w:bCs w:val="0"/>
                <w:color w:val="auto"/>
                <w:kern w:val="0"/>
                <w:sz w:val="21"/>
                <w:szCs w:val="21"/>
                <w:lang w:eastAsia="zh-CN"/>
              </w:rPr>
            </w:pPr>
          </w:p>
        </w:tc>
        <w:tc>
          <w:tcPr>
            <w:tcW w:w="7349" w:type="dxa"/>
            <w:vAlign w:val="center"/>
          </w:tcPr>
          <w:p>
            <w:pPr>
              <w:keepNext w:val="0"/>
              <w:keepLines w:val="0"/>
              <w:pageBreakBefore w:val="0"/>
              <w:widowControl/>
              <w:kinsoku/>
              <w:wordWrap/>
              <w:overflowPunct/>
              <w:topLinePunct w:val="0"/>
              <w:autoSpaceDE/>
              <w:autoSpaceDN/>
              <w:bidi w:val="0"/>
              <w:adjustRightInd/>
              <w:snapToGrid/>
              <w:spacing w:line="240" w:lineRule="auto"/>
              <w:ind w:right="0"/>
              <w:jc w:val="both"/>
              <w:textAlignment w:val="auto"/>
              <w:rPr>
                <w:rFonts w:hint="eastAsia" w:ascii="宋体" w:hAnsi="宋体" w:eastAsia="宋体" w:cs="宋体"/>
                <w:b w:val="0"/>
                <w:bCs w:val="0"/>
                <w:color w:val="auto"/>
                <w:kern w:val="0"/>
                <w:sz w:val="21"/>
                <w:szCs w:val="21"/>
                <w:lang w:eastAsia="zh-CN"/>
              </w:rPr>
            </w:pPr>
            <w:r>
              <w:rPr>
                <w:rFonts w:hint="eastAsia" w:ascii="宋体" w:hAnsi="宋体" w:eastAsia="宋体" w:cs="宋体"/>
                <w:b w:val="0"/>
                <w:bCs w:val="0"/>
                <w:color w:val="auto"/>
                <w:kern w:val="0"/>
                <w:sz w:val="21"/>
                <w:szCs w:val="21"/>
                <w:lang w:eastAsia="zh-CN"/>
              </w:rPr>
              <w:t>常识判断：主要考察应试者在经济、文化、社会、生态、法律、科技等方面应知应会的基本知识以及运用这些知识分析判断的基本能力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trPr>
        <w:tc>
          <w:tcPr>
            <w:tcW w:w="1421" w:type="dxa"/>
            <w:vMerge w:val="continue"/>
            <w:tcBorders>
              <w:top w:val="nil"/>
            </w:tcBorders>
            <w:vAlign w:val="center"/>
          </w:tcPr>
          <w:p>
            <w:pPr>
              <w:keepNext w:val="0"/>
              <w:keepLines w:val="0"/>
              <w:pageBreakBefore w:val="0"/>
              <w:widowControl/>
              <w:kinsoku/>
              <w:overflowPunct/>
              <w:topLinePunct w:val="0"/>
              <w:autoSpaceDE/>
              <w:autoSpaceDN/>
              <w:bidi w:val="0"/>
              <w:snapToGrid/>
              <w:spacing w:line="240" w:lineRule="auto"/>
              <w:ind w:right="0"/>
              <w:jc w:val="center"/>
              <w:textAlignment w:val="auto"/>
              <w:rPr>
                <w:rFonts w:hint="eastAsia" w:ascii="宋体" w:hAnsi="宋体" w:eastAsia="宋体" w:cs="宋体"/>
                <w:b w:val="0"/>
                <w:bCs w:val="0"/>
                <w:color w:val="auto"/>
                <w:kern w:val="0"/>
                <w:sz w:val="21"/>
                <w:szCs w:val="21"/>
                <w:lang w:eastAsia="zh-CN"/>
              </w:rPr>
            </w:pPr>
          </w:p>
        </w:tc>
        <w:tc>
          <w:tcPr>
            <w:tcW w:w="7349" w:type="dxa"/>
            <w:vAlign w:val="center"/>
          </w:tcPr>
          <w:p>
            <w:pPr>
              <w:keepNext w:val="0"/>
              <w:keepLines w:val="0"/>
              <w:pageBreakBefore w:val="0"/>
              <w:widowControl/>
              <w:kinsoku/>
              <w:wordWrap/>
              <w:overflowPunct/>
              <w:topLinePunct w:val="0"/>
              <w:autoSpaceDE/>
              <w:autoSpaceDN/>
              <w:bidi w:val="0"/>
              <w:adjustRightInd/>
              <w:snapToGrid/>
              <w:spacing w:line="240" w:lineRule="auto"/>
              <w:ind w:right="0"/>
              <w:jc w:val="both"/>
              <w:textAlignment w:val="auto"/>
              <w:rPr>
                <w:rFonts w:hint="eastAsia" w:ascii="宋体" w:hAnsi="宋体" w:eastAsia="宋体" w:cs="宋体"/>
                <w:b w:val="0"/>
                <w:bCs w:val="0"/>
                <w:color w:val="auto"/>
                <w:kern w:val="0"/>
                <w:sz w:val="21"/>
                <w:szCs w:val="21"/>
                <w:lang w:eastAsia="zh-CN"/>
              </w:rPr>
            </w:pPr>
            <w:r>
              <w:rPr>
                <w:rFonts w:hint="eastAsia" w:ascii="宋体" w:hAnsi="宋体" w:eastAsia="宋体" w:cs="宋体"/>
                <w:b w:val="0"/>
                <w:bCs w:val="0"/>
                <w:color w:val="auto"/>
                <w:kern w:val="0"/>
                <w:sz w:val="21"/>
                <w:szCs w:val="21"/>
                <w:lang w:eastAsia="zh-CN"/>
              </w:rPr>
              <w:t>数量关系：主要考察应试者理解、把握事物间量化关系和解决数量关系问题的能力，主要涉及数据关系的分析、推理、判断、运算等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0" w:hRule="atLeast"/>
        </w:trPr>
        <w:tc>
          <w:tcPr>
            <w:tcW w:w="1421" w:type="dxa"/>
            <w:vMerge w:val="continue"/>
            <w:tcBorders>
              <w:top w:val="nil"/>
            </w:tcBorders>
            <w:vAlign w:val="center"/>
          </w:tcPr>
          <w:p>
            <w:pPr>
              <w:keepNext w:val="0"/>
              <w:keepLines w:val="0"/>
              <w:pageBreakBefore w:val="0"/>
              <w:widowControl/>
              <w:kinsoku/>
              <w:overflowPunct/>
              <w:topLinePunct w:val="0"/>
              <w:autoSpaceDE/>
              <w:autoSpaceDN/>
              <w:bidi w:val="0"/>
              <w:snapToGrid/>
              <w:spacing w:line="240" w:lineRule="auto"/>
              <w:ind w:right="0"/>
              <w:jc w:val="center"/>
              <w:textAlignment w:val="auto"/>
              <w:rPr>
                <w:rFonts w:hint="eastAsia" w:ascii="宋体" w:hAnsi="宋体" w:eastAsia="宋体" w:cs="宋体"/>
                <w:b w:val="0"/>
                <w:bCs w:val="0"/>
                <w:color w:val="auto"/>
                <w:kern w:val="0"/>
                <w:sz w:val="21"/>
                <w:szCs w:val="21"/>
                <w:lang w:eastAsia="zh-CN"/>
              </w:rPr>
            </w:pPr>
          </w:p>
        </w:tc>
        <w:tc>
          <w:tcPr>
            <w:tcW w:w="7349" w:type="dxa"/>
            <w:vAlign w:val="center"/>
          </w:tcPr>
          <w:p>
            <w:pPr>
              <w:keepNext w:val="0"/>
              <w:keepLines w:val="0"/>
              <w:pageBreakBefore w:val="0"/>
              <w:widowControl/>
              <w:kinsoku/>
              <w:wordWrap/>
              <w:overflowPunct/>
              <w:topLinePunct w:val="0"/>
              <w:autoSpaceDE/>
              <w:autoSpaceDN/>
              <w:bidi w:val="0"/>
              <w:adjustRightInd/>
              <w:snapToGrid/>
              <w:spacing w:line="240" w:lineRule="auto"/>
              <w:ind w:right="0"/>
              <w:jc w:val="both"/>
              <w:textAlignment w:val="auto"/>
              <w:rPr>
                <w:rFonts w:hint="eastAsia" w:ascii="宋体" w:hAnsi="宋体" w:eastAsia="宋体" w:cs="宋体"/>
                <w:b w:val="0"/>
                <w:bCs w:val="0"/>
                <w:color w:val="auto"/>
                <w:kern w:val="0"/>
                <w:sz w:val="21"/>
                <w:szCs w:val="21"/>
                <w:lang w:eastAsia="zh-CN"/>
              </w:rPr>
            </w:pPr>
            <w:r>
              <w:rPr>
                <w:rFonts w:hint="eastAsia" w:ascii="宋体" w:hAnsi="宋体" w:eastAsia="宋体" w:cs="宋体"/>
                <w:b w:val="0"/>
                <w:bCs w:val="0"/>
                <w:color w:val="auto"/>
                <w:kern w:val="0"/>
                <w:sz w:val="21"/>
                <w:szCs w:val="21"/>
                <w:lang w:eastAsia="zh-CN"/>
              </w:rPr>
              <w:t>计算机基础：主要考察应试者计算机基础知识、基本操作技能及基本软件的应用，尤其是 Office 办公软件的使用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3" w:hRule="atLeast"/>
        </w:trPr>
        <w:tc>
          <w:tcPr>
            <w:tcW w:w="1421" w:type="dxa"/>
            <w:vAlign w:val="top"/>
          </w:tcPr>
          <w:p>
            <w:pPr>
              <w:keepNext w:val="0"/>
              <w:keepLines w:val="0"/>
              <w:pageBreakBefore w:val="0"/>
              <w:widowControl/>
              <w:kinsoku/>
              <w:overflowPunct/>
              <w:topLinePunct w:val="0"/>
              <w:autoSpaceDE/>
              <w:autoSpaceDN/>
              <w:bidi w:val="0"/>
              <w:snapToGrid/>
              <w:spacing w:line="240" w:lineRule="auto"/>
              <w:ind w:right="0"/>
              <w:jc w:val="center"/>
              <w:textAlignment w:val="auto"/>
              <w:rPr>
                <w:rFonts w:hint="eastAsia" w:ascii="宋体" w:hAnsi="宋体" w:eastAsia="宋体" w:cs="宋体"/>
                <w:b w:val="0"/>
                <w:bCs w:val="0"/>
                <w:color w:val="auto"/>
                <w:kern w:val="0"/>
                <w:sz w:val="21"/>
                <w:szCs w:val="21"/>
                <w:lang w:eastAsia="zh-CN"/>
              </w:rPr>
            </w:pPr>
          </w:p>
          <w:p>
            <w:pPr>
              <w:keepNext w:val="0"/>
              <w:keepLines w:val="0"/>
              <w:pageBreakBefore w:val="0"/>
              <w:widowControl/>
              <w:kinsoku/>
              <w:overflowPunct/>
              <w:topLinePunct w:val="0"/>
              <w:autoSpaceDE/>
              <w:autoSpaceDN/>
              <w:bidi w:val="0"/>
              <w:snapToGrid/>
              <w:spacing w:line="240" w:lineRule="auto"/>
              <w:ind w:right="0"/>
              <w:jc w:val="center"/>
              <w:textAlignment w:val="auto"/>
              <w:rPr>
                <w:rFonts w:hint="eastAsia" w:ascii="宋体" w:hAnsi="宋体" w:eastAsia="宋体" w:cs="宋体"/>
                <w:b w:val="0"/>
                <w:bCs w:val="0"/>
                <w:color w:val="auto"/>
                <w:kern w:val="0"/>
                <w:sz w:val="21"/>
                <w:szCs w:val="21"/>
                <w:lang w:eastAsia="zh-CN"/>
              </w:rPr>
            </w:pPr>
            <w:r>
              <w:rPr>
                <w:rFonts w:hint="eastAsia" w:ascii="宋体" w:hAnsi="宋体" w:eastAsia="宋体" w:cs="宋体"/>
                <w:b w:val="0"/>
                <w:bCs w:val="0"/>
                <w:color w:val="auto"/>
                <w:kern w:val="0"/>
                <w:sz w:val="21"/>
                <w:szCs w:val="21"/>
                <w:lang w:eastAsia="zh-CN"/>
              </w:rPr>
              <w:t>行业概况</w:t>
            </w:r>
          </w:p>
        </w:tc>
        <w:tc>
          <w:tcPr>
            <w:tcW w:w="7349" w:type="dxa"/>
            <w:vAlign w:val="center"/>
          </w:tcPr>
          <w:p>
            <w:pPr>
              <w:keepNext w:val="0"/>
              <w:keepLines w:val="0"/>
              <w:pageBreakBefore w:val="0"/>
              <w:widowControl/>
              <w:kinsoku/>
              <w:wordWrap/>
              <w:overflowPunct/>
              <w:topLinePunct w:val="0"/>
              <w:autoSpaceDE/>
              <w:autoSpaceDN/>
              <w:bidi w:val="0"/>
              <w:adjustRightInd/>
              <w:snapToGrid/>
              <w:spacing w:line="240" w:lineRule="auto"/>
              <w:ind w:right="0"/>
              <w:jc w:val="both"/>
              <w:textAlignment w:val="auto"/>
              <w:rPr>
                <w:rFonts w:hint="eastAsia" w:ascii="宋体" w:hAnsi="宋体" w:eastAsia="宋体" w:cs="宋体"/>
                <w:b w:val="0"/>
                <w:bCs w:val="0"/>
                <w:color w:val="auto"/>
                <w:kern w:val="0"/>
                <w:sz w:val="21"/>
                <w:szCs w:val="21"/>
                <w:lang w:eastAsia="zh-CN"/>
              </w:rPr>
            </w:pPr>
            <w:r>
              <w:rPr>
                <w:rFonts w:hint="eastAsia" w:ascii="宋体" w:hAnsi="宋体" w:eastAsia="宋体" w:cs="宋体"/>
                <w:b w:val="0"/>
                <w:bCs w:val="0"/>
                <w:color w:val="auto"/>
                <w:kern w:val="0"/>
                <w:sz w:val="21"/>
                <w:szCs w:val="21"/>
                <w:lang w:eastAsia="zh-CN"/>
              </w:rPr>
              <w:t>主要考察应试者对中华人民共和国电力法、电力设施保护条例、供电营业规则等电力法律法规的了解程度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3" w:hRule="atLeast"/>
        </w:trPr>
        <w:tc>
          <w:tcPr>
            <w:tcW w:w="1421" w:type="dxa"/>
          </w:tcPr>
          <w:p>
            <w:pPr>
              <w:pStyle w:val="9"/>
              <w:spacing w:before="17"/>
              <w:rPr>
                <w:sz w:val="24"/>
              </w:rPr>
            </w:pPr>
          </w:p>
          <w:p>
            <w:pPr>
              <w:keepNext w:val="0"/>
              <w:keepLines w:val="0"/>
              <w:pageBreakBefore w:val="0"/>
              <w:widowControl/>
              <w:kinsoku/>
              <w:overflowPunct/>
              <w:topLinePunct w:val="0"/>
              <w:autoSpaceDE/>
              <w:autoSpaceDN/>
              <w:bidi w:val="0"/>
              <w:snapToGrid/>
              <w:spacing w:line="240" w:lineRule="auto"/>
              <w:ind w:right="0"/>
              <w:jc w:val="center"/>
              <w:textAlignment w:val="auto"/>
              <w:rPr>
                <w:sz w:val="24"/>
              </w:rPr>
            </w:pPr>
            <w:r>
              <w:rPr>
                <w:rFonts w:hint="eastAsia" w:ascii="宋体" w:hAnsi="宋体" w:eastAsia="宋体" w:cs="宋体"/>
                <w:b w:val="0"/>
                <w:bCs w:val="0"/>
                <w:color w:val="auto"/>
                <w:kern w:val="0"/>
                <w:sz w:val="21"/>
                <w:szCs w:val="21"/>
                <w:lang w:eastAsia="zh-CN"/>
              </w:rPr>
              <w:t>形势与政策</w:t>
            </w:r>
          </w:p>
        </w:tc>
        <w:tc>
          <w:tcPr>
            <w:tcW w:w="7349" w:type="dxa"/>
            <w:vAlign w:val="center"/>
          </w:tcPr>
          <w:p>
            <w:pPr>
              <w:keepNext w:val="0"/>
              <w:keepLines w:val="0"/>
              <w:pageBreakBefore w:val="0"/>
              <w:widowControl/>
              <w:kinsoku/>
              <w:wordWrap/>
              <w:overflowPunct/>
              <w:topLinePunct w:val="0"/>
              <w:autoSpaceDE/>
              <w:autoSpaceDN/>
              <w:bidi w:val="0"/>
              <w:adjustRightInd/>
              <w:snapToGrid/>
              <w:spacing w:line="240" w:lineRule="auto"/>
              <w:ind w:right="0"/>
              <w:jc w:val="both"/>
              <w:textAlignment w:val="auto"/>
              <w:rPr>
                <w:sz w:val="24"/>
              </w:rPr>
            </w:pPr>
            <w:r>
              <w:rPr>
                <w:rFonts w:hint="eastAsia" w:ascii="宋体" w:hAnsi="宋体" w:eastAsia="宋体" w:cs="宋体"/>
                <w:b w:val="0"/>
                <w:bCs w:val="0"/>
                <w:color w:val="auto"/>
                <w:kern w:val="0"/>
                <w:sz w:val="21"/>
                <w:szCs w:val="21"/>
                <w:lang w:eastAsia="zh-CN"/>
              </w:rPr>
              <w:t>中国共产党和中国政府在现阶段的重大方针政策，2024 年 1 月至今国际、国内重大时事</w:t>
            </w:r>
          </w:p>
        </w:tc>
      </w:tr>
    </w:tbl>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sz w:val="10"/>
        </w:rPr>
      </w:pPr>
      <w:r>
        <w:rPr>
          <w:rFonts w:hint="eastAsia" w:ascii="宋体" w:hAnsi="宋体" w:eastAsia="宋体" w:cs="宋体"/>
          <w:b w:val="0"/>
          <w:bCs w:val="0"/>
          <w:color w:val="auto"/>
          <w:sz w:val="28"/>
          <w:szCs w:val="28"/>
        </w:rPr>
        <w:t>二、专业能力测试（占比 60%）</w:t>
      </w:r>
    </w:p>
    <w:tbl>
      <w:tblPr>
        <w:tblStyle w:val="6"/>
        <w:tblW w:w="0" w:type="auto"/>
        <w:tblInd w:w="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21"/>
        <w:gridCol w:w="73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trPr>
        <w:tc>
          <w:tcPr>
            <w:tcW w:w="1421" w:type="dxa"/>
          </w:tcPr>
          <w:p>
            <w:pPr>
              <w:keepNext w:val="0"/>
              <w:keepLines w:val="0"/>
              <w:pageBreakBefore w:val="0"/>
              <w:widowControl/>
              <w:kinsoku/>
              <w:overflowPunct/>
              <w:topLinePunct w:val="0"/>
              <w:autoSpaceDE/>
              <w:autoSpaceDN/>
              <w:bidi w:val="0"/>
              <w:snapToGrid/>
              <w:spacing w:line="240" w:lineRule="auto"/>
              <w:ind w:right="0"/>
              <w:jc w:val="center"/>
              <w:textAlignment w:val="auto"/>
              <w:rPr>
                <w:rFonts w:hint="eastAsia" w:ascii="仿宋_GB2312" w:hAnsi="宋体" w:eastAsia="仿宋_GB2312" w:cs="Times New Roman"/>
                <w:b w:val="0"/>
                <w:bCs w:val="0"/>
                <w:color w:val="auto"/>
                <w:kern w:val="0"/>
                <w:sz w:val="28"/>
              </w:rPr>
            </w:pPr>
            <w:r>
              <w:rPr>
                <w:rFonts w:hint="eastAsia" w:ascii="仿宋_GB2312" w:hAnsi="宋体" w:eastAsia="仿宋_GB2312" w:cs="Times New Roman"/>
                <w:b w:val="0"/>
                <w:bCs w:val="0"/>
                <w:color w:val="auto"/>
                <w:kern w:val="0"/>
                <w:sz w:val="28"/>
              </w:rPr>
              <w:t>专业类别</w:t>
            </w:r>
          </w:p>
        </w:tc>
        <w:tc>
          <w:tcPr>
            <w:tcW w:w="7349" w:type="dxa"/>
          </w:tcPr>
          <w:p>
            <w:pPr>
              <w:keepNext w:val="0"/>
              <w:keepLines w:val="0"/>
              <w:pageBreakBefore w:val="0"/>
              <w:widowControl/>
              <w:kinsoku/>
              <w:overflowPunct/>
              <w:topLinePunct w:val="0"/>
              <w:autoSpaceDE/>
              <w:autoSpaceDN/>
              <w:bidi w:val="0"/>
              <w:snapToGrid/>
              <w:spacing w:line="240" w:lineRule="auto"/>
              <w:ind w:right="0"/>
              <w:jc w:val="center"/>
              <w:textAlignment w:val="auto"/>
              <w:rPr>
                <w:rFonts w:hint="eastAsia" w:ascii="仿宋_GB2312" w:hAnsi="宋体" w:eastAsia="仿宋_GB2312" w:cs="Times New Roman"/>
                <w:b w:val="0"/>
                <w:bCs w:val="0"/>
                <w:color w:val="auto"/>
                <w:kern w:val="0"/>
                <w:sz w:val="28"/>
              </w:rPr>
            </w:pPr>
            <w:r>
              <w:rPr>
                <w:rFonts w:hint="eastAsia" w:ascii="仿宋_GB2312" w:hAnsi="宋体" w:eastAsia="仿宋_GB2312" w:cs="Times New Roman"/>
                <w:b w:val="0"/>
                <w:bCs w:val="0"/>
                <w:color w:val="auto"/>
                <w:kern w:val="0"/>
                <w:sz w:val="28"/>
              </w:rPr>
              <w:t>考察内容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1421" w:type="dxa"/>
            <w:vAlign w:val="center"/>
          </w:tcPr>
          <w:p>
            <w:pPr>
              <w:pStyle w:val="9"/>
              <w:ind w:left="8"/>
              <w:jc w:val="center"/>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电工基础与</w:t>
            </w:r>
          </w:p>
          <w:p>
            <w:pPr>
              <w:pStyle w:val="9"/>
              <w:ind w:left="8"/>
              <w:jc w:val="center"/>
              <w:rPr>
                <w:sz w:val="24"/>
              </w:rPr>
            </w:pPr>
            <w:r>
              <w:rPr>
                <w:rFonts w:hint="eastAsia" w:ascii="宋体" w:hAnsi="宋体" w:eastAsia="宋体" w:cs="宋体"/>
                <w:b w:val="0"/>
                <w:bCs w:val="0"/>
                <w:color w:val="auto"/>
                <w:kern w:val="0"/>
                <w:sz w:val="21"/>
                <w:szCs w:val="21"/>
                <w:lang w:val="en-US" w:eastAsia="zh-CN" w:bidi="ar-SA"/>
              </w:rPr>
              <w:t>应用</w:t>
            </w:r>
          </w:p>
        </w:tc>
        <w:tc>
          <w:tcPr>
            <w:tcW w:w="7349" w:type="dxa"/>
          </w:tcPr>
          <w:p>
            <w:pPr>
              <w:keepNext w:val="0"/>
              <w:keepLines w:val="0"/>
              <w:pageBreakBefore w:val="0"/>
              <w:widowControl/>
              <w:kinsoku/>
              <w:overflowPunct/>
              <w:topLinePunct w:val="0"/>
              <w:autoSpaceDE/>
              <w:autoSpaceDN/>
              <w:bidi w:val="0"/>
              <w:snapToGrid/>
              <w:spacing w:line="240" w:lineRule="auto"/>
              <w:ind w:right="0"/>
              <w:jc w:val="both"/>
              <w:textAlignment w:val="auto"/>
              <w:rPr>
                <w:sz w:val="24"/>
              </w:rPr>
            </w:pPr>
            <w:r>
              <w:rPr>
                <w:rFonts w:hint="eastAsia" w:ascii="宋体" w:hAnsi="宋体" w:eastAsia="宋体" w:cs="宋体"/>
                <w:b w:val="0"/>
                <w:bCs w:val="0"/>
                <w:color w:val="auto"/>
                <w:kern w:val="0"/>
                <w:sz w:val="21"/>
                <w:szCs w:val="21"/>
                <w:lang w:eastAsia="zh-CN"/>
              </w:rPr>
              <w:t>重点考察电工基础、电气识绘图、高低压配电设备的认识与选择、配电线路、配电装置基本知识、常用工器具与仪表的使用，营销基础知识、电价电费、电能计量、优质服务、装表接电、用电检查、农电安全技术等知识</w:t>
            </w:r>
          </w:p>
        </w:tc>
      </w:tr>
    </w:tbl>
    <w:p>
      <w:pPr>
        <w:rPr>
          <w:rFonts w:hint="eastAsia" w:ascii="宋体" w:hAnsi="宋体" w:eastAsia="宋体" w:cs="宋体"/>
          <w:b w:val="0"/>
          <w:bCs w:val="0"/>
          <w:color w:val="auto"/>
          <w:sz w:val="30"/>
          <w:szCs w:val="30"/>
          <w:lang w:val="en-US" w:eastAsia="zh-CN"/>
        </w:rPr>
      </w:pPr>
      <w:r>
        <w:rPr>
          <w:rFonts w:hint="eastAsia" w:ascii="宋体" w:hAnsi="宋体" w:eastAsia="宋体" w:cs="宋体"/>
          <w:b w:val="0"/>
          <w:bCs w:val="0"/>
          <w:color w:val="auto"/>
          <w:sz w:val="30"/>
          <w:szCs w:val="30"/>
          <w:lang w:val="en-US" w:eastAsia="zh-CN"/>
        </w:rPr>
        <w:br w:type="page"/>
      </w:r>
    </w:p>
    <w:p>
      <w:pPr>
        <w:keepNext w:val="0"/>
        <w:keepLines w:val="0"/>
        <w:pageBreakBefore w:val="0"/>
        <w:widowControl w:val="0"/>
        <w:kinsoku/>
        <w:wordWrap/>
        <w:overflowPunct/>
        <w:topLinePunct w:val="0"/>
        <w:autoSpaceDE/>
        <w:autoSpaceDN/>
        <w:bidi w:val="0"/>
        <w:adjustRightInd/>
        <w:snapToGrid/>
        <w:spacing w:before="313" w:beforeLines="100"/>
        <w:ind w:firstLine="900" w:firstLineChars="300"/>
        <w:jc w:val="center"/>
        <w:textAlignment w:val="auto"/>
        <w:rPr>
          <w:rFonts w:hint="eastAsia" w:ascii="宋体" w:hAnsi="宋体" w:eastAsia="宋体" w:cs="宋体"/>
          <w:b w:val="0"/>
          <w:bCs w:val="0"/>
          <w:color w:val="auto"/>
          <w:sz w:val="30"/>
          <w:szCs w:val="30"/>
          <w:lang w:val="en-US" w:eastAsia="zh-CN"/>
        </w:rPr>
      </w:pPr>
      <w:r>
        <w:rPr>
          <w:rFonts w:hint="eastAsia" w:ascii="宋体" w:hAnsi="宋体" w:eastAsia="宋体" w:cs="宋体"/>
          <w:b w:val="0"/>
          <w:bCs w:val="0"/>
          <w:color w:val="auto"/>
          <w:sz w:val="30"/>
          <w:szCs w:val="30"/>
          <w:lang w:val="en-US" w:eastAsia="zh-CN"/>
        </w:rPr>
        <w:t>（电子信息类专业版）</w:t>
      </w:r>
    </w:p>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sz w:val="12"/>
        </w:rPr>
      </w:pPr>
      <w:r>
        <w:rPr>
          <w:rFonts w:hint="eastAsia" w:ascii="宋体" w:hAnsi="宋体" w:eastAsia="宋体" w:cs="宋体"/>
          <w:b w:val="0"/>
          <w:bCs w:val="0"/>
          <w:color w:val="auto"/>
          <w:sz w:val="28"/>
          <w:szCs w:val="28"/>
        </w:rPr>
        <w:t>一、综合能力测试（占比 40%）</w:t>
      </w:r>
    </w:p>
    <w:tbl>
      <w:tblPr>
        <w:tblStyle w:val="6"/>
        <w:tblW w:w="0" w:type="auto"/>
        <w:tblInd w:w="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79"/>
        <w:gridCol w:w="73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15" w:hRule="atLeast"/>
        </w:trPr>
        <w:tc>
          <w:tcPr>
            <w:tcW w:w="1479" w:type="dxa"/>
          </w:tcPr>
          <w:p>
            <w:pPr>
              <w:keepNext w:val="0"/>
              <w:keepLines w:val="0"/>
              <w:pageBreakBefore w:val="0"/>
              <w:widowControl/>
              <w:kinsoku/>
              <w:overflowPunct/>
              <w:topLinePunct w:val="0"/>
              <w:autoSpaceDE/>
              <w:autoSpaceDN/>
              <w:bidi w:val="0"/>
              <w:snapToGrid/>
              <w:spacing w:line="240" w:lineRule="auto"/>
              <w:ind w:right="0"/>
              <w:jc w:val="center"/>
              <w:textAlignment w:val="auto"/>
              <w:rPr>
                <w:rFonts w:ascii="Microsoft JhengHei" w:eastAsia="Microsoft JhengHei"/>
                <w:b/>
                <w:sz w:val="24"/>
              </w:rPr>
            </w:pPr>
            <w:r>
              <w:rPr>
                <w:rFonts w:hint="eastAsia" w:ascii="仿宋_GB2312" w:hAnsi="宋体" w:eastAsia="仿宋_GB2312" w:cs="Times New Roman"/>
                <w:b w:val="0"/>
                <w:bCs w:val="0"/>
                <w:color w:val="auto"/>
                <w:kern w:val="0"/>
                <w:sz w:val="28"/>
              </w:rPr>
              <w:t>类别</w:t>
            </w:r>
          </w:p>
        </w:tc>
        <w:tc>
          <w:tcPr>
            <w:tcW w:w="7338" w:type="dxa"/>
          </w:tcPr>
          <w:p>
            <w:pPr>
              <w:keepNext w:val="0"/>
              <w:keepLines w:val="0"/>
              <w:pageBreakBefore w:val="0"/>
              <w:widowControl/>
              <w:kinsoku/>
              <w:overflowPunct/>
              <w:topLinePunct w:val="0"/>
              <w:autoSpaceDE/>
              <w:autoSpaceDN/>
              <w:bidi w:val="0"/>
              <w:snapToGrid/>
              <w:spacing w:line="240" w:lineRule="auto"/>
              <w:ind w:right="0"/>
              <w:jc w:val="center"/>
              <w:textAlignment w:val="auto"/>
              <w:rPr>
                <w:rFonts w:ascii="Microsoft JhengHei" w:eastAsia="Microsoft JhengHei"/>
                <w:b/>
                <w:sz w:val="24"/>
              </w:rPr>
            </w:pPr>
            <w:r>
              <w:rPr>
                <w:rFonts w:hint="eastAsia" w:ascii="仿宋_GB2312" w:hAnsi="宋体" w:eastAsia="仿宋_GB2312" w:cs="Times New Roman"/>
                <w:b w:val="0"/>
                <w:bCs w:val="0"/>
                <w:color w:val="auto"/>
                <w:kern w:val="0"/>
                <w:sz w:val="28"/>
              </w:rPr>
              <w:t>考察内容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1" w:hRule="atLeast"/>
        </w:trPr>
        <w:tc>
          <w:tcPr>
            <w:tcW w:w="1479" w:type="dxa"/>
            <w:vMerge w:val="restart"/>
          </w:tcPr>
          <w:p>
            <w:pPr>
              <w:pStyle w:val="9"/>
              <w:rPr>
                <w:sz w:val="24"/>
              </w:rPr>
            </w:pPr>
          </w:p>
          <w:p>
            <w:pPr>
              <w:pStyle w:val="9"/>
              <w:rPr>
                <w:sz w:val="24"/>
              </w:rPr>
            </w:pPr>
          </w:p>
          <w:p>
            <w:pPr>
              <w:pStyle w:val="9"/>
              <w:rPr>
                <w:sz w:val="24"/>
              </w:rPr>
            </w:pPr>
          </w:p>
          <w:p>
            <w:pPr>
              <w:pStyle w:val="9"/>
              <w:spacing w:before="150"/>
              <w:rPr>
                <w:sz w:val="24"/>
              </w:rPr>
            </w:pPr>
          </w:p>
          <w:p>
            <w:pPr>
              <w:pStyle w:val="9"/>
              <w:ind w:left="8"/>
              <w:jc w:val="center"/>
              <w:rPr>
                <w:sz w:val="24"/>
              </w:rPr>
            </w:pPr>
            <w:r>
              <w:rPr>
                <w:rFonts w:hint="eastAsia" w:ascii="宋体" w:hAnsi="宋体" w:eastAsia="宋体" w:cs="宋体"/>
                <w:b w:val="0"/>
                <w:bCs w:val="0"/>
                <w:color w:val="auto"/>
                <w:kern w:val="0"/>
                <w:sz w:val="21"/>
                <w:szCs w:val="21"/>
                <w:lang w:val="en-US" w:eastAsia="zh-CN" w:bidi="ar-SA"/>
              </w:rPr>
              <w:t>一般能力</w:t>
            </w:r>
          </w:p>
        </w:tc>
        <w:tc>
          <w:tcPr>
            <w:tcW w:w="7338" w:type="dxa"/>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both"/>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言语理解与表达：主要考察应试者运用语言文字进行交流和思考、迅速而又准确地理解文字材料内涵的能力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3" w:hRule="atLeast"/>
        </w:trPr>
        <w:tc>
          <w:tcPr>
            <w:tcW w:w="1479" w:type="dxa"/>
            <w:vMerge w:val="continue"/>
            <w:tcBorders>
              <w:top w:val="nil"/>
            </w:tcBorders>
          </w:tcPr>
          <w:p>
            <w:pPr>
              <w:rPr>
                <w:sz w:val="2"/>
                <w:szCs w:val="2"/>
              </w:rPr>
            </w:pPr>
          </w:p>
        </w:tc>
        <w:tc>
          <w:tcPr>
            <w:tcW w:w="7338" w:type="dxa"/>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both"/>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判断推理：主要考察应试者对各种事物关系的分析推理能力，涉及对图形、语词概念、事物关系和文字材料的理解、比较、组合、演绎和归纳等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1" w:hRule="atLeast"/>
        </w:trPr>
        <w:tc>
          <w:tcPr>
            <w:tcW w:w="1479" w:type="dxa"/>
            <w:vMerge w:val="continue"/>
            <w:tcBorders>
              <w:top w:val="nil"/>
            </w:tcBorders>
          </w:tcPr>
          <w:p>
            <w:pPr>
              <w:rPr>
                <w:sz w:val="2"/>
                <w:szCs w:val="2"/>
              </w:rPr>
            </w:pPr>
          </w:p>
        </w:tc>
        <w:tc>
          <w:tcPr>
            <w:tcW w:w="7338" w:type="dxa"/>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both"/>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常识判断：主要考察应试者在经济、文化、社会、生态、法律、科技等方面应知应会的基本知识以及运用这些知识分析判断的基本能力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40" w:hRule="atLeast"/>
        </w:trPr>
        <w:tc>
          <w:tcPr>
            <w:tcW w:w="1479" w:type="dxa"/>
            <w:vMerge w:val="continue"/>
            <w:tcBorders>
              <w:top w:val="nil"/>
            </w:tcBorders>
          </w:tcPr>
          <w:p>
            <w:pPr>
              <w:rPr>
                <w:sz w:val="2"/>
                <w:szCs w:val="2"/>
              </w:rPr>
            </w:pPr>
          </w:p>
        </w:tc>
        <w:tc>
          <w:tcPr>
            <w:tcW w:w="7338" w:type="dxa"/>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both"/>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数量关系：主要考察应试者理解、把握事物间量化关系和解决数量关系问题的能力，主要涉及数据关系的分析、推理、判断、运算等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20" w:hRule="atLeast"/>
        </w:trPr>
        <w:tc>
          <w:tcPr>
            <w:tcW w:w="1479" w:type="dxa"/>
          </w:tcPr>
          <w:p>
            <w:pPr>
              <w:pStyle w:val="9"/>
              <w:spacing w:before="36"/>
              <w:rPr>
                <w:sz w:val="24"/>
              </w:rPr>
            </w:pPr>
          </w:p>
          <w:p>
            <w:pPr>
              <w:pStyle w:val="9"/>
              <w:ind w:left="8"/>
              <w:jc w:val="center"/>
              <w:rPr>
                <w:sz w:val="24"/>
              </w:rPr>
            </w:pPr>
            <w:r>
              <w:rPr>
                <w:rFonts w:hint="eastAsia" w:ascii="宋体" w:hAnsi="宋体" w:eastAsia="宋体" w:cs="宋体"/>
                <w:b w:val="0"/>
                <w:bCs w:val="0"/>
                <w:color w:val="auto"/>
                <w:kern w:val="0"/>
                <w:sz w:val="21"/>
                <w:szCs w:val="21"/>
                <w:lang w:val="en-US" w:eastAsia="zh-CN" w:bidi="ar-SA"/>
              </w:rPr>
              <w:t>行业概况</w:t>
            </w:r>
          </w:p>
        </w:tc>
        <w:tc>
          <w:tcPr>
            <w:tcW w:w="7338" w:type="dxa"/>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both"/>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主要考察应试者对中华人民共和国电力法、电力设施保护条例、供电营业规则等电力法律法规的了解程度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20" w:hRule="atLeast"/>
        </w:trPr>
        <w:tc>
          <w:tcPr>
            <w:tcW w:w="1479" w:type="dxa"/>
          </w:tcPr>
          <w:p>
            <w:pPr>
              <w:pStyle w:val="9"/>
              <w:spacing w:before="35"/>
              <w:rPr>
                <w:sz w:val="24"/>
              </w:rPr>
            </w:pPr>
          </w:p>
          <w:p>
            <w:pPr>
              <w:pStyle w:val="9"/>
              <w:ind w:left="8"/>
              <w:jc w:val="center"/>
              <w:rPr>
                <w:sz w:val="24"/>
              </w:rPr>
            </w:pPr>
            <w:r>
              <w:rPr>
                <w:rFonts w:hint="eastAsia" w:ascii="宋体" w:hAnsi="宋体" w:eastAsia="宋体" w:cs="宋体"/>
                <w:b w:val="0"/>
                <w:bCs w:val="0"/>
                <w:color w:val="auto"/>
                <w:kern w:val="0"/>
                <w:sz w:val="21"/>
                <w:szCs w:val="21"/>
                <w:lang w:val="en-US" w:eastAsia="zh-CN" w:bidi="ar-SA"/>
              </w:rPr>
              <w:t>形势与政策</w:t>
            </w:r>
          </w:p>
        </w:tc>
        <w:tc>
          <w:tcPr>
            <w:tcW w:w="7338" w:type="dxa"/>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both"/>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中国共产党和中国政府在现阶段的重大方针政策，2024 年 1 月至今国际、国内重大时事</w:t>
            </w:r>
          </w:p>
        </w:tc>
      </w:tr>
    </w:tbl>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sz w:val="12"/>
        </w:rPr>
      </w:pPr>
      <w:r>
        <w:rPr>
          <w:rFonts w:hint="eastAsia" w:ascii="宋体" w:hAnsi="宋体" w:eastAsia="宋体" w:cs="宋体"/>
          <w:b w:val="0"/>
          <w:bCs w:val="0"/>
          <w:color w:val="auto"/>
          <w:sz w:val="28"/>
          <w:szCs w:val="28"/>
        </w:rPr>
        <w:t>二、专业能力测试（占比 60%）</w:t>
      </w:r>
    </w:p>
    <w:tbl>
      <w:tblPr>
        <w:tblStyle w:val="6"/>
        <w:tblW w:w="0" w:type="auto"/>
        <w:tblInd w:w="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90"/>
        <w:gridCol w:w="73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1490" w:type="dxa"/>
          </w:tcPr>
          <w:p>
            <w:pPr>
              <w:keepNext w:val="0"/>
              <w:keepLines w:val="0"/>
              <w:pageBreakBefore w:val="0"/>
              <w:widowControl/>
              <w:kinsoku/>
              <w:overflowPunct/>
              <w:topLinePunct w:val="0"/>
              <w:autoSpaceDE/>
              <w:autoSpaceDN/>
              <w:bidi w:val="0"/>
              <w:snapToGrid/>
              <w:spacing w:line="240" w:lineRule="auto"/>
              <w:ind w:right="0"/>
              <w:jc w:val="center"/>
              <w:textAlignment w:val="auto"/>
              <w:rPr>
                <w:rFonts w:ascii="Microsoft JhengHei" w:eastAsia="Microsoft JhengHei"/>
                <w:b/>
                <w:sz w:val="24"/>
              </w:rPr>
            </w:pPr>
            <w:r>
              <w:rPr>
                <w:rFonts w:hint="eastAsia" w:ascii="仿宋_GB2312" w:hAnsi="宋体" w:eastAsia="仿宋_GB2312" w:cs="Times New Roman"/>
                <w:b w:val="0"/>
                <w:bCs w:val="0"/>
                <w:color w:val="auto"/>
                <w:kern w:val="0"/>
                <w:sz w:val="28"/>
              </w:rPr>
              <w:t>专业类别</w:t>
            </w:r>
          </w:p>
        </w:tc>
        <w:tc>
          <w:tcPr>
            <w:tcW w:w="7316" w:type="dxa"/>
          </w:tcPr>
          <w:p>
            <w:pPr>
              <w:keepNext w:val="0"/>
              <w:keepLines w:val="0"/>
              <w:pageBreakBefore w:val="0"/>
              <w:widowControl/>
              <w:kinsoku/>
              <w:overflowPunct/>
              <w:topLinePunct w:val="0"/>
              <w:autoSpaceDE/>
              <w:autoSpaceDN/>
              <w:bidi w:val="0"/>
              <w:snapToGrid/>
              <w:spacing w:line="240" w:lineRule="auto"/>
              <w:ind w:right="0"/>
              <w:jc w:val="center"/>
              <w:textAlignment w:val="auto"/>
              <w:rPr>
                <w:rFonts w:ascii="Microsoft JhengHei" w:eastAsia="Microsoft JhengHei"/>
                <w:b/>
                <w:sz w:val="24"/>
              </w:rPr>
            </w:pPr>
            <w:r>
              <w:rPr>
                <w:rFonts w:hint="eastAsia" w:ascii="仿宋_GB2312" w:hAnsi="宋体" w:eastAsia="仿宋_GB2312" w:cs="Times New Roman"/>
                <w:b w:val="0"/>
                <w:bCs w:val="0"/>
                <w:color w:val="auto"/>
                <w:kern w:val="0"/>
                <w:sz w:val="28"/>
              </w:rPr>
              <w:t>考察内容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490" w:type="dxa"/>
            <w:vAlign w:val="center"/>
          </w:tcPr>
          <w:p>
            <w:pPr>
              <w:pStyle w:val="9"/>
              <w:keepNext w:val="0"/>
              <w:keepLines w:val="0"/>
              <w:pageBreakBefore w:val="0"/>
              <w:widowControl w:val="0"/>
              <w:kinsoku/>
              <w:wordWrap/>
              <w:overflowPunct/>
              <w:topLinePunct w:val="0"/>
              <w:autoSpaceDE/>
              <w:autoSpaceDN/>
              <w:bidi w:val="0"/>
              <w:adjustRightInd/>
              <w:snapToGrid/>
              <w:ind w:left="11"/>
              <w:jc w:val="center"/>
              <w:textAlignment w:val="auto"/>
              <w:rPr>
                <w:sz w:val="24"/>
              </w:rPr>
            </w:pPr>
            <w:r>
              <w:rPr>
                <w:rFonts w:hint="eastAsia" w:ascii="宋体" w:hAnsi="宋体" w:eastAsia="宋体" w:cs="宋体"/>
                <w:b w:val="0"/>
                <w:bCs w:val="0"/>
                <w:color w:val="auto"/>
                <w:kern w:val="0"/>
                <w:sz w:val="21"/>
                <w:szCs w:val="21"/>
                <w:lang w:val="en-US" w:eastAsia="zh-CN" w:bidi="ar-SA"/>
              </w:rPr>
              <w:t>电工基础</w:t>
            </w:r>
          </w:p>
        </w:tc>
        <w:tc>
          <w:tcPr>
            <w:tcW w:w="7316" w:type="dxa"/>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both"/>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重点考察电力系统基础、电工技术等电工学知识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0" w:hRule="atLeast"/>
        </w:trPr>
        <w:tc>
          <w:tcPr>
            <w:tcW w:w="1490" w:type="dxa"/>
            <w:vAlign w:val="center"/>
          </w:tcPr>
          <w:p>
            <w:pPr>
              <w:pStyle w:val="9"/>
              <w:keepNext w:val="0"/>
              <w:keepLines w:val="0"/>
              <w:pageBreakBefore w:val="0"/>
              <w:widowControl w:val="0"/>
              <w:kinsoku/>
              <w:wordWrap/>
              <w:overflowPunct/>
              <w:topLinePunct w:val="0"/>
              <w:autoSpaceDE/>
              <w:autoSpaceDN/>
              <w:bidi w:val="0"/>
              <w:adjustRightInd/>
              <w:snapToGrid/>
              <w:jc w:val="center"/>
              <w:textAlignment w:val="auto"/>
              <w:rPr>
                <w:sz w:val="24"/>
              </w:rPr>
            </w:pPr>
            <w:r>
              <w:rPr>
                <w:rFonts w:hint="eastAsia" w:ascii="宋体" w:hAnsi="宋体" w:eastAsia="宋体" w:cs="宋体"/>
                <w:b w:val="0"/>
                <w:bCs w:val="0"/>
                <w:color w:val="auto"/>
                <w:kern w:val="0"/>
                <w:sz w:val="21"/>
                <w:szCs w:val="21"/>
                <w:lang w:val="en-US" w:eastAsia="zh-CN" w:bidi="ar-SA"/>
              </w:rPr>
              <w:t>专业基础</w:t>
            </w:r>
          </w:p>
        </w:tc>
        <w:tc>
          <w:tcPr>
            <w:tcW w:w="7316" w:type="dxa"/>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both"/>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重点考察计算机网络、计算机组成与体系结构、软件设计与开发、数据结构与算法、数据库系统、操作系统、信息新技术、通信原理、信号与系统、光纤通信、数据通信网、移动通信及其他业务系统等知识</w:t>
            </w:r>
          </w:p>
        </w:tc>
      </w:tr>
    </w:tbl>
    <w:p>
      <w:pPr>
        <w:rPr>
          <w:rFonts w:hint="eastAsia" w:ascii="宋体" w:hAnsi="宋体" w:eastAsia="宋体" w:cs="宋体"/>
          <w:b w:val="0"/>
          <w:bCs w:val="0"/>
          <w:color w:val="auto"/>
          <w:sz w:val="30"/>
          <w:szCs w:val="30"/>
          <w:lang w:val="en-US" w:eastAsia="zh-CN"/>
        </w:rPr>
      </w:pPr>
      <w:r>
        <w:rPr>
          <w:rFonts w:hint="eastAsia" w:ascii="宋体" w:hAnsi="宋体" w:eastAsia="宋体" w:cs="宋体"/>
          <w:b w:val="0"/>
          <w:bCs w:val="0"/>
          <w:color w:val="auto"/>
          <w:sz w:val="30"/>
          <w:szCs w:val="30"/>
          <w:lang w:val="en-US" w:eastAsia="zh-CN"/>
        </w:rPr>
        <w:br w:type="page"/>
      </w:r>
    </w:p>
    <w:p>
      <w:pPr>
        <w:keepNext w:val="0"/>
        <w:keepLines w:val="0"/>
        <w:pageBreakBefore w:val="0"/>
        <w:widowControl w:val="0"/>
        <w:kinsoku/>
        <w:wordWrap/>
        <w:overflowPunct/>
        <w:topLinePunct w:val="0"/>
        <w:autoSpaceDE/>
        <w:autoSpaceDN/>
        <w:bidi w:val="0"/>
        <w:adjustRightInd/>
        <w:snapToGrid/>
        <w:spacing w:before="313" w:beforeLines="100"/>
        <w:ind w:firstLine="900" w:firstLineChars="300"/>
        <w:jc w:val="center"/>
        <w:textAlignment w:val="auto"/>
      </w:pPr>
      <w:r>
        <w:rPr>
          <w:rFonts w:hint="eastAsia" w:ascii="宋体" w:hAnsi="宋体" w:eastAsia="宋体" w:cs="宋体"/>
          <w:b w:val="0"/>
          <w:bCs w:val="0"/>
          <w:color w:val="auto"/>
          <w:sz w:val="30"/>
          <w:szCs w:val="30"/>
          <w:lang w:val="en-US" w:eastAsia="zh-CN"/>
        </w:rPr>
        <w:t>（管理类专业版）</w:t>
      </w:r>
    </w:p>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sz w:val="12"/>
        </w:rPr>
      </w:pPr>
      <w:r>
        <w:rPr>
          <w:rFonts w:hint="eastAsia" w:ascii="宋体" w:hAnsi="宋体" w:eastAsia="宋体" w:cs="宋体"/>
          <w:b w:val="0"/>
          <w:bCs w:val="0"/>
          <w:color w:val="auto"/>
          <w:sz w:val="28"/>
          <w:szCs w:val="28"/>
        </w:rPr>
        <w:t>一、综合能力测试（占比 40%）</w:t>
      </w:r>
    </w:p>
    <w:tbl>
      <w:tblPr>
        <w:tblStyle w:val="6"/>
        <w:tblW w:w="0" w:type="auto"/>
        <w:tblInd w:w="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67"/>
        <w:gridCol w:w="74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trPr>
        <w:tc>
          <w:tcPr>
            <w:tcW w:w="1467" w:type="dxa"/>
          </w:tcPr>
          <w:p>
            <w:pPr>
              <w:keepNext w:val="0"/>
              <w:keepLines w:val="0"/>
              <w:pageBreakBefore w:val="0"/>
              <w:widowControl/>
              <w:kinsoku/>
              <w:overflowPunct/>
              <w:topLinePunct w:val="0"/>
              <w:autoSpaceDE/>
              <w:autoSpaceDN/>
              <w:bidi w:val="0"/>
              <w:snapToGrid/>
              <w:spacing w:line="240" w:lineRule="auto"/>
              <w:ind w:right="0"/>
              <w:jc w:val="center"/>
              <w:textAlignment w:val="auto"/>
              <w:rPr>
                <w:rFonts w:ascii="Microsoft JhengHei" w:eastAsia="Microsoft JhengHei"/>
                <w:b/>
                <w:sz w:val="24"/>
              </w:rPr>
            </w:pPr>
            <w:r>
              <w:rPr>
                <w:rFonts w:hint="eastAsia" w:ascii="仿宋_GB2312" w:hAnsi="宋体" w:eastAsia="仿宋_GB2312" w:cs="Times New Roman"/>
                <w:b w:val="0"/>
                <w:bCs w:val="0"/>
                <w:color w:val="auto"/>
                <w:kern w:val="0"/>
                <w:sz w:val="28"/>
              </w:rPr>
              <w:t>类别</w:t>
            </w:r>
          </w:p>
        </w:tc>
        <w:tc>
          <w:tcPr>
            <w:tcW w:w="7408" w:type="dxa"/>
          </w:tcPr>
          <w:p>
            <w:pPr>
              <w:keepNext w:val="0"/>
              <w:keepLines w:val="0"/>
              <w:pageBreakBefore w:val="0"/>
              <w:widowControl/>
              <w:kinsoku/>
              <w:overflowPunct/>
              <w:topLinePunct w:val="0"/>
              <w:autoSpaceDE/>
              <w:autoSpaceDN/>
              <w:bidi w:val="0"/>
              <w:snapToGrid/>
              <w:spacing w:line="240" w:lineRule="auto"/>
              <w:ind w:right="0"/>
              <w:jc w:val="center"/>
              <w:textAlignment w:val="auto"/>
              <w:rPr>
                <w:rFonts w:ascii="Microsoft JhengHei" w:eastAsia="Microsoft JhengHei"/>
                <w:b/>
                <w:sz w:val="24"/>
              </w:rPr>
            </w:pPr>
            <w:r>
              <w:rPr>
                <w:rFonts w:hint="eastAsia" w:ascii="仿宋_GB2312" w:hAnsi="宋体" w:eastAsia="仿宋_GB2312" w:cs="Times New Roman"/>
                <w:b w:val="0"/>
                <w:bCs w:val="0"/>
                <w:color w:val="auto"/>
                <w:kern w:val="0"/>
                <w:sz w:val="28"/>
              </w:rPr>
              <w:t>考察内容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8" w:hRule="atLeast"/>
        </w:trPr>
        <w:tc>
          <w:tcPr>
            <w:tcW w:w="1467" w:type="dxa"/>
            <w:vMerge w:val="restart"/>
          </w:tcPr>
          <w:p>
            <w:pPr>
              <w:pStyle w:val="9"/>
              <w:rPr>
                <w:sz w:val="24"/>
              </w:rPr>
            </w:pPr>
          </w:p>
          <w:p>
            <w:pPr>
              <w:pStyle w:val="9"/>
              <w:rPr>
                <w:sz w:val="24"/>
              </w:rPr>
            </w:pPr>
          </w:p>
          <w:p>
            <w:pPr>
              <w:pStyle w:val="9"/>
              <w:rPr>
                <w:sz w:val="24"/>
              </w:rPr>
            </w:pPr>
          </w:p>
          <w:p>
            <w:pPr>
              <w:pStyle w:val="9"/>
              <w:spacing w:before="164"/>
              <w:rPr>
                <w:sz w:val="24"/>
              </w:rPr>
            </w:pPr>
          </w:p>
          <w:p>
            <w:pPr>
              <w:pStyle w:val="9"/>
              <w:keepNext w:val="0"/>
              <w:keepLines w:val="0"/>
              <w:pageBreakBefore w:val="0"/>
              <w:widowControl w:val="0"/>
              <w:kinsoku/>
              <w:wordWrap/>
              <w:overflowPunct/>
              <w:topLinePunct w:val="0"/>
              <w:autoSpaceDE/>
              <w:autoSpaceDN/>
              <w:bidi w:val="0"/>
              <w:adjustRightInd/>
              <w:snapToGrid/>
              <w:jc w:val="center"/>
              <w:textAlignment w:val="auto"/>
              <w:rPr>
                <w:sz w:val="24"/>
              </w:rPr>
            </w:pPr>
            <w:r>
              <w:rPr>
                <w:rFonts w:hint="eastAsia" w:ascii="宋体" w:hAnsi="宋体" w:eastAsia="宋体" w:cs="宋体"/>
                <w:b w:val="0"/>
                <w:bCs w:val="0"/>
                <w:color w:val="auto"/>
                <w:kern w:val="0"/>
                <w:sz w:val="21"/>
                <w:szCs w:val="21"/>
                <w:lang w:val="en-US" w:eastAsia="zh-CN" w:bidi="ar-SA"/>
              </w:rPr>
              <w:t>一般能力</w:t>
            </w:r>
          </w:p>
        </w:tc>
        <w:tc>
          <w:tcPr>
            <w:tcW w:w="7408" w:type="dxa"/>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both"/>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言语理解与表达：主要考察应试者运用语言文字进行交流和思考、迅速而又准确地理解文字材料内涵的能力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1467" w:type="dxa"/>
            <w:vMerge w:val="continue"/>
            <w:tcBorders>
              <w:top w:val="nil"/>
            </w:tcBorders>
          </w:tcPr>
          <w:p>
            <w:pPr>
              <w:rPr>
                <w:sz w:val="2"/>
                <w:szCs w:val="2"/>
              </w:rPr>
            </w:pPr>
          </w:p>
        </w:tc>
        <w:tc>
          <w:tcPr>
            <w:tcW w:w="7408" w:type="dxa"/>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both"/>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判断推理：主要考察应试者对各种事物关系的分析推理能力，涉及对图形、语词概念、事物关系和文字材料的理解、比较、组合、演绎和归纳等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2" w:hRule="atLeast"/>
        </w:trPr>
        <w:tc>
          <w:tcPr>
            <w:tcW w:w="1467" w:type="dxa"/>
            <w:vMerge w:val="continue"/>
            <w:tcBorders>
              <w:top w:val="nil"/>
            </w:tcBorders>
          </w:tcPr>
          <w:p>
            <w:pPr>
              <w:rPr>
                <w:sz w:val="2"/>
                <w:szCs w:val="2"/>
              </w:rPr>
            </w:pPr>
          </w:p>
        </w:tc>
        <w:tc>
          <w:tcPr>
            <w:tcW w:w="7408" w:type="dxa"/>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both"/>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常识判断：主要考察应试者在经济、文化、社会、生态、法律、科技等方面应知应会的基本知识以及运用这些知识分析判断的基本能力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40" w:hRule="atLeast"/>
        </w:trPr>
        <w:tc>
          <w:tcPr>
            <w:tcW w:w="1467" w:type="dxa"/>
            <w:vMerge w:val="continue"/>
            <w:tcBorders>
              <w:top w:val="nil"/>
            </w:tcBorders>
          </w:tcPr>
          <w:p>
            <w:pPr>
              <w:rPr>
                <w:sz w:val="2"/>
                <w:szCs w:val="2"/>
              </w:rPr>
            </w:pPr>
          </w:p>
        </w:tc>
        <w:tc>
          <w:tcPr>
            <w:tcW w:w="7408" w:type="dxa"/>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both"/>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数量关系：主要考察应试者理解、把握事物间量化关系和解决数量关系问题的能力，主要涉及数据关系的分析、推理、判断、运算等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20" w:hRule="atLeast"/>
        </w:trPr>
        <w:tc>
          <w:tcPr>
            <w:tcW w:w="1467" w:type="dxa"/>
          </w:tcPr>
          <w:p>
            <w:pPr>
              <w:pStyle w:val="9"/>
              <w:spacing w:before="35"/>
              <w:rPr>
                <w:sz w:val="24"/>
              </w:rPr>
            </w:pPr>
          </w:p>
          <w:p>
            <w:pPr>
              <w:pStyle w:val="9"/>
              <w:keepNext w:val="0"/>
              <w:keepLines w:val="0"/>
              <w:pageBreakBefore w:val="0"/>
              <w:widowControl w:val="0"/>
              <w:kinsoku/>
              <w:wordWrap/>
              <w:overflowPunct/>
              <w:topLinePunct w:val="0"/>
              <w:autoSpaceDE/>
              <w:autoSpaceDN/>
              <w:bidi w:val="0"/>
              <w:adjustRightInd/>
              <w:snapToGrid/>
              <w:jc w:val="center"/>
              <w:textAlignment w:val="auto"/>
              <w:rPr>
                <w:sz w:val="24"/>
              </w:rPr>
            </w:pPr>
            <w:r>
              <w:rPr>
                <w:rFonts w:hint="eastAsia" w:ascii="宋体" w:hAnsi="宋体" w:eastAsia="宋体" w:cs="宋体"/>
                <w:b w:val="0"/>
                <w:bCs w:val="0"/>
                <w:color w:val="auto"/>
                <w:kern w:val="0"/>
                <w:sz w:val="21"/>
                <w:szCs w:val="21"/>
                <w:lang w:val="en-US" w:eastAsia="zh-CN" w:bidi="ar-SA"/>
              </w:rPr>
              <w:t>行业概况</w:t>
            </w:r>
          </w:p>
        </w:tc>
        <w:tc>
          <w:tcPr>
            <w:tcW w:w="7408" w:type="dxa"/>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both"/>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主要考察应试者对中华人民共和国电力法、电力设施保护条例、供电营业规则等电力法律法规的了解程度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20" w:hRule="atLeast"/>
        </w:trPr>
        <w:tc>
          <w:tcPr>
            <w:tcW w:w="1467" w:type="dxa"/>
          </w:tcPr>
          <w:p>
            <w:pPr>
              <w:pStyle w:val="9"/>
              <w:spacing w:before="34"/>
              <w:rPr>
                <w:sz w:val="24"/>
              </w:rPr>
            </w:pPr>
          </w:p>
          <w:p>
            <w:pPr>
              <w:pStyle w:val="9"/>
              <w:keepNext w:val="0"/>
              <w:keepLines w:val="0"/>
              <w:pageBreakBefore w:val="0"/>
              <w:widowControl w:val="0"/>
              <w:kinsoku/>
              <w:wordWrap/>
              <w:overflowPunct/>
              <w:topLinePunct w:val="0"/>
              <w:autoSpaceDE/>
              <w:autoSpaceDN/>
              <w:bidi w:val="0"/>
              <w:adjustRightInd/>
              <w:snapToGrid/>
              <w:jc w:val="center"/>
              <w:textAlignment w:val="auto"/>
              <w:rPr>
                <w:sz w:val="24"/>
              </w:rPr>
            </w:pPr>
            <w:r>
              <w:rPr>
                <w:rFonts w:hint="eastAsia" w:ascii="宋体" w:hAnsi="宋体" w:eastAsia="宋体" w:cs="宋体"/>
                <w:b w:val="0"/>
                <w:bCs w:val="0"/>
                <w:color w:val="auto"/>
                <w:kern w:val="0"/>
                <w:sz w:val="21"/>
                <w:szCs w:val="21"/>
                <w:lang w:val="en-US" w:eastAsia="zh-CN" w:bidi="ar-SA"/>
              </w:rPr>
              <w:t>形势与政策</w:t>
            </w:r>
          </w:p>
        </w:tc>
        <w:tc>
          <w:tcPr>
            <w:tcW w:w="7408" w:type="dxa"/>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both"/>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中国共产党和中国政府在现阶段的重大方针政策，2024 年 1 月至今国际、国内重大时事</w:t>
            </w:r>
          </w:p>
        </w:tc>
      </w:tr>
    </w:tbl>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sz w:val="12"/>
        </w:rPr>
      </w:pPr>
      <w:r>
        <w:rPr>
          <w:rFonts w:hint="eastAsia" w:ascii="宋体" w:hAnsi="宋体" w:eastAsia="宋体" w:cs="宋体"/>
          <w:b w:val="0"/>
          <w:bCs w:val="0"/>
          <w:color w:val="auto"/>
          <w:sz w:val="28"/>
          <w:szCs w:val="28"/>
        </w:rPr>
        <w:t>二、专业能力测试（占比 60%）</w:t>
      </w:r>
    </w:p>
    <w:tbl>
      <w:tblPr>
        <w:tblStyle w:val="6"/>
        <w:tblW w:w="0" w:type="auto"/>
        <w:tblInd w:w="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56"/>
        <w:gridCol w:w="74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5" w:hRule="atLeast"/>
        </w:trPr>
        <w:tc>
          <w:tcPr>
            <w:tcW w:w="1456" w:type="dxa"/>
          </w:tcPr>
          <w:p>
            <w:pPr>
              <w:keepNext w:val="0"/>
              <w:keepLines w:val="0"/>
              <w:pageBreakBefore w:val="0"/>
              <w:widowControl/>
              <w:kinsoku/>
              <w:overflowPunct/>
              <w:topLinePunct w:val="0"/>
              <w:autoSpaceDE/>
              <w:autoSpaceDN/>
              <w:bidi w:val="0"/>
              <w:snapToGrid/>
              <w:spacing w:line="240" w:lineRule="auto"/>
              <w:ind w:right="0"/>
              <w:jc w:val="center"/>
              <w:textAlignment w:val="auto"/>
              <w:rPr>
                <w:rFonts w:hint="eastAsia" w:ascii="仿宋_GB2312" w:hAnsi="宋体" w:eastAsia="仿宋_GB2312" w:cs="Times New Roman"/>
                <w:b w:val="0"/>
                <w:bCs w:val="0"/>
                <w:color w:val="auto"/>
                <w:kern w:val="0"/>
                <w:sz w:val="28"/>
              </w:rPr>
            </w:pPr>
            <w:r>
              <w:rPr>
                <w:rFonts w:hint="eastAsia" w:ascii="仿宋_GB2312" w:hAnsi="宋体" w:eastAsia="仿宋_GB2312" w:cs="Times New Roman"/>
                <w:b w:val="0"/>
                <w:bCs w:val="0"/>
                <w:color w:val="auto"/>
                <w:kern w:val="0"/>
                <w:sz w:val="28"/>
              </w:rPr>
              <w:t>专业类别</w:t>
            </w:r>
          </w:p>
        </w:tc>
        <w:tc>
          <w:tcPr>
            <w:tcW w:w="7430" w:type="dxa"/>
          </w:tcPr>
          <w:p>
            <w:pPr>
              <w:keepNext w:val="0"/>
              <w:keepLines w:val="0"/>
              <w:pageBreakBefore w:val="0"/>
              <w:widowControl/>
              <w:kinsoku/>
              <w:overflowPunct/>
              <w:topLinePunct w:val="0"/>
              <w:autoSpaceDE/>
              <w:autoSpaceDN/>
              <w:bidi w:val="0"/>
              <w:snapToGrid/>
              <w:spacing w:line="240" w:lineRule="auto"/>
              <w:ind w:right="0"/>
              <w:jc w:val="center"/>
              <w:textAlignment w:val="auto"/>
              <w:rPr>
                <w:rFonts w:hint="eastAsia" w:ascii="仿宋_GB2312" w:hAnsi="宋体" w:eastAsia="仿宋_GB2312" w:cs="Times New Roman"/>
                <w:b w:val="0"/>
                <w:bCs w:val="0"/>
                <w:color w:val="auto"/>
                <w:kern w:val="0"/>
                <w:sz w:val="28"/>
              </w:rPr>
            </w:pPr>
            <w:r>
              <w:rPr>
                <w:rFonts w:hint="eastAsia" w:ascii="仿宋_GB2312" w:hAnsi="宋体" w:eastAsia="仿宋_GB2312" w:cs="Times New Roman"/>
                <w:b w:val="0"/>
                <w:bCs w:val="0"/>
                <w:color w:val="auto"/>
                <w:kern w:val="0"/>
                <w:sz w:val="28"/>
              </w:rPr>
              <w:t>考察内容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1" w:hRule="atLeast"/>
        </w:trPr>
        <w:tc>
          <w:tcPr>
            <w:tcW w:w="1456" w:type="dxa"/>
            <w:vAlign w:val="center"/>
          </w:tcPr>
          <w:p>
            <w:pPr>
              <w:pStyle w:val="9"/>
              <w:keepNext w:val="0"/>
              <w:keepLines w:val="0"/>
              <w:pageBreakBefore w:val="0"/>
              <w:widowControl w:val="0"/>
              <w:kinsoku/>
              <w:wordWrap/>
              <w:overflowPunct/>
              <w:topLinePunct w:val="0"/>
              <w:autoSpaceDE/>
              <w:autoSpaceDN/>
              <w:bidi w:val="0"/>
              <w:adjustRightInd/>
              <w:snapToGrid/>
              <w:jc w:val="center"/>
              <w:textAlignment w:val="auto"/>
              <w:rPr>
                <w:sz w:val="24"/>
              </w:rPr>
            </w:pPr>
            <w:r>
              <w:rPr>
                <w:rFonts w:hint="eastAsia" w:ascii="宋体" w:hAnsi="宋体" w:eastAsia="宋体" w:cs="宋体"/>
                <w:b w:val="0"/>
                <w:bCs w:val="0"/>
                <w:color w:val="auto"/>
                <w:kern w:val="0"/>
                <w:sz w:val="21"/>
                <w:szCs w:val="21"/>
                <w:lang w:val="en-US" w:eastAsia="zh-CN" w:bidi="ar-SA"/>
              </w:rPr>
              <w:t>电工基础</w:t>
            </w:r>
          </w:p>
        </w:tc>
        <w:tc>
          <w:tcPr>
            <w:tcW w:w="7430" w:type="dxa"/>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both"/>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重点考察电力系统基础、电工技术等电工学知识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trPr>
        <w:tc>
          <w:tcPr>
            <w:tcW w:w="1456" w:type="dxa"/>
            <w:vAlign w:val="center"/>
          </w:tcPr>
          <w:p>
            <w:pPr>
              <w:pStyle w:val="9"/>
              <w:keepNext w:val="0"/>
              <w:keepLines w:val="0"/>
              <w:pageBreakBefore w:val="0"/>
              <w:widowControl w:val="0"/>
              <w:kinsoku/>
              <w:wordWrap/>
              <w:overflowPunct/>
              <w:topLinePunct w:val="0"/>
              <w:autoSpaceDE/>
              <w:autoSpaceDN/>
              <w:bidi w:val="0"/>
              <w:adjustRightInd/>
              <w:snapToGrid/>
              <w:jc w:val="left"/>
              <w:textAlignment w:val="auto"/>
              <w:rPr>
                <w:sz w:val="24"/>
              </w:rPr>
            </w:pPr>
          </w:p>
          <w:p>
            <w:pPr>
              <w:pStyle w:val="9"/>
              <w:keepNext w:val="0"/>
              <w:keepLines w:val="0"/>
              <w:pageBreakBefore w:val="0"/>
              <w:widowControl w:val="0"/>
              <w:kinsoku/>
              <w:wordWrap/>
              <w:overflowPunct/>
              <w:topLinePunct w:val="0"/>
              <w:autoSpaceDE/>
              <w:autoSpaceDN/>
              <w:bidi w:val="0"/>
              <w:adjustRightInd/>
              <w:snapToGrid/>
              <w:jc w:val="center"/>
              <w:textAlignment w:val="auto"/>
              <w:rPr>
                <w:sz w:val="24"/>
              </w:rPr>
            </w:pPr>
            <w:r>
              <w:rPr>
                <w:rFonts w:hint="eastAsia" w:ascii="宋体" w:hAnsi="宋体" w:eastAsia="宋体" w:cs="宋体"/>
                <w:b w:val="0"/>
                <w:bCs w:val="0"/>
                <w:color w:val="auto"/>
                <w:kern w:val="0"/>
                <w:sz w:val="21"/>
                <w:szCs w:val="21"/>
                <w:lang w:val="en-US" w:eastAsia="zh-CN" w:bidi="ar-SA"/>
              </w:rPr>
              <w:t>计算机基础</w:t>
            </w:r>
          </w:p>
        </w:tc>
        <w:tc>
          <w:tcPr>
            <w:tcW w:w="7430" w:type="dxa"/>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both"/>
              <w:textAlignment w:val="auto"/>
              <w:rPr>
                <w:rFonts w:hint="eastAsia" w:ascii="宋体" w:hAnsi="宋体" w:eastAsia="宋体" w:cs="宋体"/>
                <w:b w:val="0"/>
                <w:bCs w:val="0"/>
                <w:color w:val="auto"/>
                <w:kern w:val="0"/>
                <w:sz w:val="21"/>
                <w:szCs w:val="21"/>
                <w:lang w:val="en-US" w:eastAsia="zh-CN" w:bidi="ar-SA"/>
              </w:rPr>
            </w:pPr>
          </w:p>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both"/>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重点考察计算机硬件、软件基础、网络技术基础、信息安全技术、信息科学前沿等计算机基础知识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9" w:hRule="atLeast"/>
        </w:trPr>
        <w:tc>
          <w:tcPr>
            <w:tcW w:w="1456" w:type="dxa"/>
            <w:vAlign w:val="center"/>
          </w:tcPr>
          <w:p>
            <w:pPr>
              <w:pStyle w:val="9"/>
              <w:keepNext w:val="0"/>
              <w:keepLines w:val="0"/>
              <w:pageBreakBefore w:val="0"/>
              <w:widowControl w:val="0"/>
              <w:kinsoku/>
              <w:wordWrap/>
              <w:overflowPunct/>
              <w:topLinePunct w:val="0"/>
              <w:autoSpaceDE/>
              <w:autoSpaceDN/>
              <w:bidi w:val="0"/>
              <w:adjustRightInd/>
              <w:snapToGrid/>
              <w:jc w:val="center"/>
              <w:textAlignment w:val="auto"/>
              <w:rPr>
                <w:sz w:val="24"/>
              </w:rPr>
            </w:pPr>
            <w:r>
              <w:rPr>
                <w:rFonts w:hint="eastAsia" w:ascii="宋体" w:hAnsi="宋体" w:eastAsia="宋体" w:cs="宋体"/>
                <w:b w:val="0"/>
                <w:bCs w:val="0"/>
                <w:color w:val="auto"/>
                <w:kern w:val="0"/>
                <w:sz w:val="21"/>
                <w:szCs w:val="21"/>
                <w:lang w:val="en-US" w:eastAsia="zh-CN" w:bidi="ar-SA"/>
              </w:rPr>
              <w:t>专业基础</w:t>
            </w:r>
          </w:p>
        </w:tc>
        <w:tc>
          <w:tcPr>
            <w:tcW w:w="7430" w:type="dxa"/>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both"/>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重点考察管理学原理、统计学、经济学基础等知识</w:t>
            </w:r>
          </w:p>
        </w:tc>
      </w:tr>
    </w:tbl>
    <w:p>
      <w:pPr>
        <w:rPr>
          <w:rFonts w:hint="eastAsia" w:ascii="宋体" w:hAnsi="宋体" w:eastAsia="宋体" w:cs="宋体"/>
          <w:b w:val="0"/>
          <w:bCs w:val="0"/>
          <w:color w:val="auto"/>
          <w:sz w:val="30"/>
          <w:szCs w:val="30"/>
          <w:lang w:val="en-US" w:eastAsia="zh-CN"/>
        </w:rPr>
      </w:pPr>
      <w:r>
        <w:rPr>
          <w:rFonts w:hint="eastAsia" w:ascii="宋体" w:hAnsi="宋体" w:eastAsia="宋体" w:cs="宋体"/>
          <w:b w:val="0"/>
          <w:bCs w:val="0"/>
          <w:color w:val="auto"/>
          <w:sz w:val="30"/>
          <w:szCs w:val="30"/>
          <w:lang w:val="en-US" w:eastAsia="zh-CN"/>
        </w:rPr>
        <w:br w:type="page"/>
      </w:r>
    </w:p>
    <w:p>
      <w:pPr>
        <w:keepNext w:val="0"/>
        <w:keepLines w:val="0"/>
        <w:pageBreakBefore w:val="0"/>
        <w:widowControl w:val="0"/>
        <w:kinsoku/>
        <w:wordWrap/>
        <w:overflowPunct/>
        <w:topLinePunct w:val="0"/>
        <w:autoSpaceDE/>
        <w:autoSpaceDN/>
        <w:bidi w:val="0"/>
        <w:adjustRightInd/>
        <w:snapToGrid/>
        <w:spacing w:before="313" w:beforeLines="100"/>
        <w:ind w:firstLine="900" w:firstLineChars="300"/>
        <w:jc w:val="center"/>
        <w:textAlignment w:val="auto"/>
        <w:rPr>
          <w:rFonts w:hint="eastAsia" w:ascii="宋体" w:hAnsi="宋体" w:eastAsia="宋体" w:cs="宋体"/>
          <w:b w:val="0"/>
          <w:bCs w:val="0"/>
          <w:color w:val="auto"/>
          <w:sz w:val="30"/>
          <w:szCs w:val="30"/>
          <w:lang w:val="en-US" w:eastAsia="zh-CN"/>
        </w:rPr>
      </w:pPr>
      <w:r>
        <w:rPr>
          <w:rFonts w:hint="eastAsia" w:ascii="宋体" w:hAnsi="宋体" w:eastAsia="宋体" w:cs="宋体"/>
          <w:b w:val="0"/>
          <w:bCs w:val="0"/>
          <w:color w:val="auto"/>
          <w:sz w:val="30"/>
          <w:szCs w:val="30"/>
          <w:lang w:val="en-US" w:eastAsia="zh-CN"/>
        </w:rPr>
        <w:t>（财务类专业版）</w:t>
      </w:r>
    </w:p>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sz w:val="12"/>
        </w:rPr>
      </w:pPr>
      <w:r>
        <w:rPr>
          <w:rFonts w:hint="eastAsia" w:ascii="宋体" w:hAnsi="宋体" w:eastAsia="宋体" w:cs="宋体"/>
          <w:b w:val="0"/>
          <w:bCs w:val="0"/>
          <w:color w:val="auto"/>
          <w:sz w:val="28"/>
          <w:szCs w:val="28"/>
        </w:rPr>
        <w:t>一、综合能力测试（占比 40%）</w:t>
      </w:r>
    </w:p>
    <w:tbl>
      <w:tblPr>
        <w:tblStyle w:val="6"/>
        <w:tblW w:w="0" w:type="auto"/>
        <w:tblInd w:w="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02"/>
        <w:gridCol w:w="73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5" w:hRule="atLeast"/>
        </w:trPr>
        <w:tc>
          <w:tcPr>
            <w:tcW w:w="1502" w:type="dxa"/>
          </w:tcPr>
          <w:p>
            <w:pPr>
              <w:keepNext w:val="0"/>
              <w:keepLines w:val="0"/>
              <w:pageBreakBefore w:val="0"/>
              <w:widowControl/>
              <w:kinsoku/>
              <w:overflowPunct/>
              <w:topLinePunct w:val="0"/>
              <w:autoSpaceDE/>
              <w:autoSpaceDN/>
              <w:bidi w:val="0"/>
              <w:snapToGrid/>
              <w:spacing w:line="240" w:lineRule="auto"/>
              <w:ind w:right="0"/>
              <w:jc w:val="center"/>
              <w:textAlignment w:val="auto"/>
              <w:rPr>
                <w:rFonts w:ascii="Microsoft JhengHei" w:eastAsia="Microsoft JhengHei"/>
                <w:b/>
                <w:sz w:val="24"/>
              </w:rPr>
            </w:pPr>
            <w:r>
              <w:rPr>
                <w:rFonts w:hint="eastAsia" w:ascii="仿宋_GB2312" w:hAnsi="宋体" w:eastAsia="仿宋_GB2312" w:cs="Times New Roman"/>
                <w:b w:val="0"/>
                <w:bCs w:val="0"/>
                <w:color w:val="auto"/>
                <w:kern w:val="0"/>
                <w:sz w:val="28"/>
              </w:rPr>
              <w:t>类别</w:t>
            </w:r>
          </w:p>
        </w:tc>
        <w:tc>
          <w:tcPr>
            <w:tcW w:w="7373" w:type="dxa"/>
          </w:tcPr>
          <w:p>
            <w:pPr>
              <w:keepNext w:val="0"/>
              <w:keepLines w:val="0"/>
              <w:pageBreakBefore w:val="0"/>
              <w:widowControl/>
              <w:kinsoku/>
              <w:overflowPunct/>
              <w:topLinePunct w:val="0"/>
              <w:autoSpaceDE/>
              <w:autoSpaceDN/>
              <w:bidi w:val="0"/>
              <w:snapToGrid/>
              <w:spacing w:line="240" w:lineRule="auto"/>
              <w:ind w:right="0"/>
              <w:jc w:val="center"/>
              <w:textAlignment w:val="auto"/>
              <w:rPr>
                <w:rFonts w:ascii="Microsoft JhengHei" w:eastAsia="Microsoft JhengHei"/>
                <w:b/>
                <w:sz w:val="24"/>
              </w:rPr>
            </w:pPr>
            <w:r>
              <w:rPr>
                <w:rFonts w:hint="eastAsia" w:ascii="仿宋_GB2312" w:hAnsi="宋体" w:eastAsia="仿宋_GB2312" w:cs="Times New Roman"/>
                <w:b w:val="0"/>
                <w:bCs w:val="0"/>
                <w:color w:val="auto"/>
                <w:kern w:val="0"/>
                <w:sz w:val="28"/>
              </w:rPr>
              <w:t>考察内容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6" w:hRule="atLeast"/>
        </w:trPr>
        <w:tc>
          <w:tcPr>
            <w:tcW w:w="1502" w:type="dxa"/>
            <w:vMerge w:val="restart"/>
            <w:vAlign w:val="top"/>
          </w:tcPr>
          <w:p>
            <w:pPr>
              <w:pStyle w:val="9"/>
              <w:keepNext w:val="0"/>
              <w:keepLines w:val="0"/>
              <w:pageBreakBefore w:val="0"/>
              <w:widowControl w:val="0"/>
              <w:kinsoku/>
              <w:wordWrap/>
              <w:overflowPunct/>
              <w:topLinePunct w:val="0"/>
              <w:autoSpaceDE/>
              <w:autoSpaceDN/>
              <w:bidi w:val="0"/>
              <w:adjustRightInd/>
              <w:snapToGrid/>
              <w:jc w:val="center"/>
              <w:textAlignment w:val="auto"/>
              <w:rPr>
                <w:sz w:val="24"/>
              </w:rPr>
            </w:pPr>
          </w:p>
          <w:p>
            <w:pPr>
              <w:pStyle w:val="9"/>
              <w:keepNext w:val="0"/>
              <w:keepLines w:val="0"/>
              <w:pageBreakBefore w:val="0"/>
              <w:widowControl w:val="0"/>
              <w:kinsoku/>
              <w:wordWrap/>
              <w:overflowPunct/>
              <w:topLinePunct w:val="0"/>
              <w:autoSpaceDE/>
              <w:autoSpaceDN/>
              <w:bidi w:val="0"/>
              <w:adjustRightInd/>
              <w:snapToGrid/>
              <w:jc w:val="center"/>
              <w:textAlignment w:val="auto"/>
              <w:rPr>
                <w:sz w:val="24"/>
              </w:rPr>
            </w:pPr>
          </w:p>
          <w:p>
            <w:pPr>
              <w:pStyle w:val="9"/>
              <w:keepNext w:val="0"/>
              <w:keepLines w:val="0"/>
              <w:pageBreakBefore w:val="0"/>
              <w:widowControl w:val="0"/>
              <w:kinsoku/>
              <w:wordWrap/>
              <w:overflowPunct/>
              <w:topLinePunct w:val="0"/>
              <w:autoSpaceDE/>
              <w:autoSpaceDN/>
              <w:bidi w:val="0"/>
              <w:adjustRightInd/>
              <w:snapToGrid/>
              <w:jc w:val="center"/>
              <w:textAlignment w:val="auto"/>
              <w:rPr>
                <w:sz w:val="24"/>
              </w:rPr>
            </w:pPr>
          </w:p>
          <w:p>
            <w:pPr>
              <w:pStyle w:val="9"/>
              <w:keepNext w:val="0"/>
              <w:keepLines w:val="0"/>
              <w:pageBreakBefore w:val="0"/>
              <w:widowControl w:val="0"/>
              <w:kinsoku/>
              <w:wordWrap/>
              <w:overflowPunct/>
              <w:topLinePunct w:val="0"/>
              <w:autoSpaceDE/>
              <w:autoSpaceDN/>
              <w:bidi w:val="0"/>
              <w:adjustRightInd/>
              <w:snapToGrid/>
              <w:jc w:val="center"/>
              <w:textAlignment w:val="auto"/>
              <w:rPr>
                <w:sz w:val="24"/>
              </w:rPr>
            </w:pPr>
          </w:p>
          <w:p>
            <w:pPr>
              <w:pStyle w:val="9"/>
              <w:keepNext w:val="0"/>
              <w:keepLines w:val="0"/>
              <w:pageBreakBefore w:val="0"/>
              <w:widowControl w:val="0"/>
              <w:kinsoku/>
              <w:wordWrap/>
              <w:overflowPunct/>
              <w:topLinePunct w:val="0"/>
              <w:autoSpaceDE/>
              <w:autoSpaceDN/>
              <w:bidi w:val="0"/>
              <w:adjustRightInd/>
              <w:snapToGrid/>
              <w:jc w:val="center"/>
              <w:textAlignment w:val="auto"/>
              <w:rPr>
                <w:sz w:val="24"/>
              </w:rPr>
            </w:pPr>
          </w:p>
          <w:p>
            <w:pPr>
              <w:pStyle w:val="9"/>
              <w:keepNext w:val="0"/>
              <w:keepLines w:val="0"/>
              <w:pageBreakBefore w:val="0"/>
              <w:widowControl w:val="0"/>
              <w:kinsoku/>
              <w:wordWrap/>
              <w:overflowPunct/>
              <w:topLinePunct w:val="0"/>
              <w:autoSpaceDE/>
              <w:autoSpaceDN/>
              <w:bidi w:val="0"/>
              <w:adjustRightInd/>
              <w:snapToGrid/>
              <w:jc w:val="both"/>
              <w:textAlignment w:val="auto"/>
              <w:rPr>
                <w:sz w:val="24"/>
              </w:rPr>
            </w:pPr>
          </w:p>
          <w:p>
            <w:pPr>
              <w:pStyle w:val="9"/>
              <w:keepNext w:val="0"/>
              <w:keepLines w:val="0"/>
              <w:pageBreakBefore w:val="0"/>
              <w:widowControl w:val="0"/>
              <w:kinsoku/>
              <w:wordWrap/>
              <w:overflowPunct/>
              <w:topLinePunct w:val="0"/>
              <w:autoSpaceDE/>
              <w:autoSpaceDN/>
              <w:bidi w:val="0"/>
              <w:adjustRightInd/>
              <w:snapToGrid/>
              <w:jc w:val="center"/>
              <w:textAlignment w:val="auto"/>
              <w:rPr>
                <w:sz w:val="24"/>
              </w:rPr>
            </w:pPr>
            <w:r>
              <w:rPr>
                <w:rFonts w:hint="eastAsia" w:ascii="宋体" w:hAnsi="宋体" w:eastAsia="宋体" w:cs="宋体"/>
                <w:b w:val="0"/>
                <w:bCs w:val="0"/>
                <w:color w:val="auto"/>
                <w:kern w:val="0"/>
                <w:sz w:val="21"/>
                <w:szCs w:val="21"/>
                <w:lang w:val="en-US" w:eastAsia="zh-CN" w:bidi="ar-SA"/>
              </w:rPr>
              <w:t>一般能力</w:t>
            </w:r>
          </w:p>
        </w:tc>
        <w:tc>
          <w:tcPr>
            <w:tcW w:w="7373" w:type="dxa"/>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both"/>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言语理解与表达：主要考察应试者运用语言文字进行交流和思考、迅速而又准确地理解文字材料内涵的能力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3" w:hRule="atLeast"/>
        </w:trPr>
        <w:tc>
          <w:tcPr>
            <w:tcW w:w="1502"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sz w:val="2"/>
                <w:szCs w:val="2"/>
              </w:rPr>
            </w:pPr>
          </w:p>
        </w:tc>
        <w:tc>
          <w:tcPr>
            <w:tcW w:w="7373" w:type="dxa"/>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both"/>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判断推理：主要考察应试者对各种事物关系的分析推理能力，涉及对图形、语词概念、事物关系和文字材料的理解、比较、组合、演绎和归纳等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1" w:hRule="atLeast"/>
        </w:trPr>
        <w:tc>
          <w:tcPr>
            <w:tcW w:w="1502"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sz w:val="2"/>
                <w:szCs w:val="2"/>
              </w:rPr>
            </w:pPr>
          </w:p>
        </w:tc>
        <w:tc>
          <w:tcPr>
            <w:tcW w:w="7373" w:type="dxa"/>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both"/>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常识判断：主要考察应试者在经济、文化、社会、生态、法律、科技等方面应知应会的基本知识以及运用这些知识分析判断的基本能力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40" w:hRule="atLeast"/>
        </w:trPr>
        <w:tc>
          <w:tcPr>
            <w:tcW w:w="1502" w:type="dxa"/>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jc w:val="left"/>
              <w:textAlignment w:val="auto"/>
              <w:rPr>
                <w:sz w:val="2"/>
                <w:szCs w:val="2"/>
              </w:rPr>
            </w:pPr>
          </w:p>
        </w:tc>
        <w:tc>
          <w:tcPr>
            <w:tcW w:w="7373" w:type="dxa"/>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both"/>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数量关系：主要考察应试者理解、把握事物间量化关系和解决数量关系问题的能力，主要涉及数据关系的分析、推理、判断、运算等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20" w:hRule="atLeast"/>
        </w:trPr>
        <w:tc>
          <w:tcPr>
            <w:tcW w:w="1502" w:type="dxa"/>
            <w:vAlign w:val="center"/>
          </w:tcPr>
          <w:p>
            <w:pPr>
              <w:pStyle w:val="9"/>
              <w:keepNext w:val="0"/>
              <w:keepLines w:val="0"/>
              <w:pageBreakBefore w:val="0"/>
              <w:widowControl w:val="0"/>
              <w:kinsoku/>
              <w:wordWrap/>
              <w:overflowPunct/>
              <w:topLinePunct w:val="0"/>
              <w:autoSpaceDE/>
              <w:autoSpaceDN/>
              <w:bidi w:val="0"/>
              <w:adjustRightInd/>
              <w:snapToGrid/>
              <w:jc w:val="center"/>
              <w:textAlignment w:val="auto"/>
              <w:rPr>
                <w:sz w:val="24"/>
              </w:rPr>
            </w:pPr>
            <w:r>
              <w:rPr>
                <w:rFonts w:hint="eastAsia" w:ascii="宋体" w:hAnsi="宋体" w:eastAsia="宋体" w:cs="宋体"/>
                <w:b w:val="0"/>
                <w:bCs w:val="0"/>
                <w:color w:val="auto"/>
                <w:kern w:val="0"/>
                <w:sz w:val="21"/>
                <w:szCs w:val="21"/>
                <w:lang w:val="en-US" w:eastAsia="zh-CN" w:bidi="ar-SA"/>
              </w:rPr>
              <w:t>行业概况</w:t>
            </w:r>
          </w:p>
        </w:tc>
        <w:tc>
          <w:tcPr>
            <w:tcW w:w="7373" w:type="dxa"/>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both"/>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主要考察应试者对中华人民共和国电力法、电力设施保护条例、供电营业规则等电力法律法规的了解程度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20" w:hRule="atLeast"/>
        </w:trPr>
        <w:tc>
          <w:tcPr>
            <w:tcW w:w="1502" w:type="dxa"/>
            <w:vAlign w:val="center"/>
          </w:tcPr>
          <w:p>
            <w:pPr>
              <w:pStyle w:val="9"/>
              <w:keepNext w:val="0"/>
              <w:keepLines w:val="0"/>
              <w:pageBreakBefore w:val="0"/>
              <w:widowControl w:val="0"/>
              <w:kinsoku/>
              <w:wordWrap/>
              <w:overflowPunct/>
              <w:topLinePunct w:val="0"/>
              <w:autoSpaceDE/>
              <w:autoSpaceDN/>
              <w:bidi w:val="0"/>
              <w:adjustRightInd/>
              <w:snapToGrid/>
              <w:jc w:val="center"/>
              <w:textAlignment w:val="auto"/>
              <w:rPr>
                <w:sz w:val="24"/>
              </w:rPr>
            </w:pPr>
            <w:r>
              <w:rPr>
                <w:rFonts w:hint="eastAsia" w:ascii="宋体" w:hAnsi="宋体" w:eastAsia="宋体" w:cs="宋体"/>
                <w:b w:val="0"/>
                <w:bCs w:val="0"/>
                <w:color w:val="auto"/>
                <w:kern w:val="0"/>
                <w:sz w:val="21"/>
                <w:szCs w:val="21"/>
                <w:lang w:val="en-US" w:eastAsia="zh-CN" w:bidi="ar-SA"/>
              </w:rPr>
              <w:t>形势与政策</w:t>
            </w:r>
          </w:p>
        </w:tc>
        <w:tc>
          <w:tcPr>
            <w:tcW w:w="7373" w:type="dxa"/>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both"/>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中国共产党和中国政府在现阶段的重大方针政策，2024 年 1 月至今国际、国内重大时事</w:t>
            </w:r>
          </w:p>
        </w:tc>
      </w:tr>
    </w:tbl>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sz w:val="12"/>
        </w:rPr>
      </w:pPr>
      <w:r>
        <w:rPr>
          <w:rFonts w:hint="eastAsia" w:ascii="宋体" w:hAnsi="宋体" w:eastAsia="宋体" w:cs="宋体"/>
          <w:b w:val="0"/>
          <w:bCs w:val="0"/>
          <w:color w:val="auto"/>
          <w:sz w:val="28"/>
          <w:szCs w:val="28"/>
        </w:rPr>
        <w:t>二、专业能力测试（占比 60%）</w:t>
      </w:r>
    </w:p>
    <w:tbl>
      <w:tblPr>
        <w:tblStyle w:val="6"/>
        <w:tblW w:w="0" w:type="auto"/>
        <w:tblInd w:w="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02"/>
        <w:gridCol w:w="73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5" w:hRule="atLeast"/>
        </w:trPr>
        <w:tc>
          <w:tcPr>
            <w:tcW w:w="1502" w:type="dxa"/>
          </w:tcPr>
          <w:p>
            <w:pPr>
              <w:pStyle w:val="9"/>
              <w:spacing w:before="1"/>
              <w:ind w:left="9" w:right="3"/>
              <w:jc w:val="center"/>
              <w:rPr>
                <w:rFonts w:hint="eastAsia" w:ascii="仿宋_GB2312" w:hAnsi="宋体" w:eastAsia="仿宋_GB2312" w:cs="Times New Roman"/>
                <w:b w:val="0"/>
                <w:bCs w:val="0"/>
                <w:color w:val="auto"/>
                <w:kern w:val="0"/>
                <w:sz w:val="28"/>
                <w:szCs w:val="24"/>
                <w:lang w:val="en-US" w:eastAsia="zh-CN" w:bidi="ar-SA"/>
              </w:rPr>
            </w:pPr>
            <w:r>
              <w:rPr>
                <w:rFonts w:hint="eastAsia" w:ascii="仿宋_GB2312" w:hAnsi="宋体" w:eastAsia="仿宋_GB2312" w:cs="Times New Roman"/>
                <w:b w:val="0"/>
                <w:bCs w:val="0"/>
                <w:color w:val="auto"/>
                <w:kern w:val="0"/>
                <w:sz w:val="28"/>
                <w:szCs w:val="24"/>
                <w:lang w:val="en-US" w:eastAsia="zh-CN" w:bidi="ar-SA"/>
              </w:rPr>
              <w:t>专业类别</w:t>
            </w:r>
          </w:p>
        </w:tc>
        <w:tc>
          <w:tcPr>
            <w:tcW w:w="7384" w:type="dxa"/>
          </w:tcPr>
          <w:p>
            <w:pPr>
              <w:pStyle w:val="9"/>
              <w:spacing w:before="1"/>
              <w:ind w:left="9" w:right="3"/>
              <w:jc w:val="center"/>
              <w:rPr>
                <w:rFonts w:hint="eastAsia" w:ascii="仿宋_GB2312" w:hAnsi="宋体" w:eastAsia="仿宋_GB2312" w:cs="Times New Roman"/>
                <w:b w:val="0"/>
                <w:bCs w:val="0"/>
                <w:color w:val="auto"/>
                <w:kern w:val="0"/>
                <w:sz w:val="28"/>
                <w:szCs w:val="24"/>
                <w:lang w:val="en-US" w:eastAsia="zh-CN" w:bidi="ar-SA"/>
              </w:rPr>
            </w:pPr>
            <w:r>
              <w:rPr>
                <w:rFonts w:hint="eastAsia" w:ascii="仿宋_GB2312" w:hAnsi="宋体" w:eastAsia="仿宋_GB2312" w:cs="Times New Roman"/>
                <w:b w:val="0"/>
                <w:bCs w:val="0"/>
                <w:color w:val="auto"/>
                <w:kern w:val="0"/>
                <w:sz w:val="28"/>
                <w:szCs w:val="24"/>
                <w:lang w:val="en-US" w:eastAsia="zh-CN" w:bidi="ar-SA"/>
              </w:rPr>
              <w:t>考察内容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trPr>
        <w:tc>
          <w:tcPr>
            <w:tcW w:w="1502" w:type="dxa"/>
            <w:vAlign w:val="center"/>
          </w:tcPr>
          <w:p>
            <w:pPr>
              <w:pStyle w:val="9"/>
              <w:keepNext w:val="0"/>
              <w:keepLines w:val="0"/>
              <w:pageBreakBefore w:val="0"/>
              <w:widowControl w:val="0"/>
              <w:kinsoku/>
              <w:wordWrap/>
              <w:overflowPunct/>
              <w:topLinePunct w:val="0"/>
              <w:autoSpaceDE/>
              <w:autoSpaceDN/>
              <w:bidi w:val="0"/>
              <w:adjustRightInd/>
              <w:snapToGrid/>
              <w:jc w:val="center"/>
              <w:textAlignment w:val="auto"/>
              <w:rPr>
                <w:sz w:val="24"/>
              </w:rPr>
            </w:pPr>
            <w:r>
              <w:rPr>
                <w:rFonts w:hint="eastAsia" w:ascii="宋体" w:hAnsi="宋体" w:eastAsia="宋体" w:cs="宋体"/>
                <w:b w:val="0"/>
                <w:bCs w:val="0"/>
                <w:color w:val="auto"/>
                <w:kern w:val="0"/>
                <w:sz w:val="21"/>
                <w:szCs w:val="21"/>
                <w:lang w:val="en-US" w:eastAsia="zh-CN" w:bidi="ar-SA"/>
              </w:rPr>
              <w:t>电工基础</w:t>
            </w:r>
          </w:p>
        </w:tc>
        <w:tc>
          <w:tcPr>
            <w:tcW w:w="7384" w:type="dxa"/>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both"/>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重点考察电力系统基础、电工技术等电工学知识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0" w:hRule="atLeast"/>
        </w:trPr>
        <w:tc>
          <w:tcPr>
            <w:tcW w:w="1502" w:type="dxa"/>
            <w:vAlign w:val="center"/>
          </w:tcPr>
          <w:p>
            <w:pPr>
              <w:pStyle w:val="9"/>
              <w:keepNext w:val="0"/>
              <w:keepLines w:val="0"/>
              <w:pageBreakBefore w:val="0"/>
              <w:widowControl w:val="0"/>
              <w:kinsoku/>
              <w:wordWrap/>
              <w:overflowPunct/>
              <w:topLinePunct w:val="0"/>
              <w:autoSpaceDE/>
              <w:autoSpaceDN/>
              <w:bidi w:val="0"/>
              <w:adjustRightInd/>
              <w:snapToGrid/>
              <w:jc w:val="center"/>
              <w:textAlignment w:val="auto"/>
              <w:rPr>
                <w:sz w:val="24"/>
              </w:rPr>
            </w:pPr>
            <w:r>
              <w:rPr>
                <w:rFonts w:hint="eastAsia" w:ascii="宋体" w:hAnsi="宋体" w:eastAsia="宋体" w:cs="宋体"/>
                <w:b w:val="0"/>
                <w:bCs w:val="0"/>
                <w:color w:val="auto"/>
                <w:kern w:val="0"/>
                <w:sz w:val="21"/>
                <w:szCs w:val="21"/>
                <w:lang w:val="en-US" w:eastAsia="zh-CN" w:bidi="ar-SA"/>
              </w:rPr>
              <w:t>计算机基础</w:t>
            </w:r>
          </w:p>
        </w:tc>
        <w:tc>
          <w:tcPr>
            <w:tcW w:w="7384" w:type="dxa"/>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both"/>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重点考察计算机硬件、软件基础、网络技术基础、信息安全技术、信息科学前沿等计算机基础知识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7" w:hRule="atLeast"/>
        </w:trPr>
        <w:tc>
          <w:tcPr>
            <w:tcW w:w="1502" w:type="dxa"/>
            <w:vAlign w:val="center"/>
          </w:tcPr>
          <w:p>
            <w:pPr>
              <w:pStyle w:val="9"/>
              <w:keepNext w:val="0"/>
              <w:keepLines w:val="0"/>
              <w:pageBreakBefore w:val="0"/>
              <w:widowControl w:val="0"/>
              <w:kinsoku/>
              <w:wordWrap/>
              <w:overflowPunct/>
              <w:topLinePunct w:val="0"/>
              <w:autoSpaceDE/>
              <w:autoSpaceDN/>
              <w:bidi w:val="0"/>
              <w:adjustRightInd/>
              <w:snapToGrid/>
              <w:jc w:val="center"/>
              <w:textAlignment w:val="auto"/>
              <w:rPr>
                <w:sz w:val="24"/>
              </w:rPr>
            </w:pPr>
            <w:r>
              <w:rPr>
                <w:rFonts w:hint="eastAsia" w:ascii="宋体" w:hAnsi="宋体" w:eastAsia="宋体" w:cs="宋体"/>
                <w:b w:val="0"/>
                <w:bCs w:val="0"/>
                <w:color w:val="auto"/>
                <w:kern w:val="0"/>
                <w:sz w:val="21"/>
                <w:szCs w:val="21"/>
                <w:lang w:val="en-US" w:eastAsia="zh-CN" w:bidi="ar-SA"/>
              </w:rPr>
              <w:t>专业基础</w:t>
            </w:r>
          </w:p>
        </w:tc>
        <w:tc>
          <w:tcPr>
            <w:tcW w:w="7384" w:type="dxa"/>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both"/>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重点考察财务成本管理、会计、审计，公司战略、风险管理与内部控制等知识</w:t>
            </w:r>
          </w:p>
        </w:tc>
      </w:tr>
    </w:tbl>
    <w:p>
      <w:pPr>
        <w:rPr>
          <w:rFonts w:hint="eastAsia" w:ascii="宋体" w:hAnsi="宋体" w:eastAsia="宋体" w:cs="宋体"/>
          <w:b w:val="0"/>
          <w:bCs w:val="0"/>
          <w:color w:val="auto"/>
          <w:sz w:val="30"/>
          <w:szCs w:val="30"/>
          <w:lang w:val="en-US" w:eastAsia="zh-CN"/>
        </w:rPr>
      </w:pPr>
      <w:r>
        <w:rPr>
          <w:rFonts w:hint="eastAsia" w:ascii="宋体" w:hAnsi="宋体" w:eastAsia="宋体" w:cs="宋体"/>
          <w:b w:val="0"/>
          <w:bCs w:val="0"/>
          <w:color w:val="auto"/>
          <w:sz w:val="30"/>
          <w:szCs w:val="30"/>
          <w:lang w:val="en-US" w:eastAsia="zh-CN"/>
        </w:rPr>
        <w:br w:type="page"/>
      </w:r>
    </w:p>
    <w:p>
      <w:pPr>
        <w:keepNext w:val="0"/>
        <w:keepLines w:val="0"/>
        <w:pageBreakBefore w:val="0"/>
        <w:widowControl w:val="0"/>
        <w:kinsoku/>
        <w:wordWrap/>
        <w:overflowPunct/>
        <w:topLinePunct w:val="0"/>
        <w:autoSpaceDE/>
        <w:autoSpaceDN/>
        <w:bidi w:val="0"/>
        <w:adjustRightInd/>
        <w:snapToGrid/>
        <w:spacing w:before="313" w:beforeLines="100"/>
        <w:ind w:firstLine="900" w:firstLineChars="300"/>
        <w:jc w:val="center"/>
        <w:textAlignment w:val="auto"/>
        <w:rPr>
          <w:rFonts w:hint="eastAsia" w:ascii="宋体" w:hAnsi="宋体" w:eastAsia="宋体" w:cs="宋体"/>
          <w:b w:val="0"/>
          <w:bCs w:val="0"/>
          <w:color w:val="auto"/>
          <w:sz w:val="30"/>
          <w:szCs w:val="30"/>
          <w:lang w:val="en-US" w:eastAsia="zh-CN"/>
        </w:rPr>
      </w:pPr>
      <w:r>
        <w:rPr>
          <w:rFonts w:hint="eastAsia" w:ascii="宋体" w:hAnsi="宋体" w:eastAsia="宋体" w:cs="宋体"/>
          <w:b w:val="0"/>
          <w:bCs w:val="0"/>
          <w:color w:val="auto"/>
          <w:sz w:val="30"/>
          <w:szCs w:val="30"/>
          <w:lang w:val="en-US" w:eastAsia="zh-CN"/>
        </w:rPr>
        <w:t>（其他工学类、其他专业版）</w:t>
      </w:r>
    </w:p>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sz w:val="12"/>
        </w:rPr>
      </w:pPr>
      <w:r>
        <w:rPr>
          <w:rFonts w:hint="eastAsia" w:ascii="宋体" w:hAnsi="宋体" w:eastAsia="宋体" w:cs="宋体"/>
          <w:b w:val="0"/>
          <w:bCs w:val="0"/>
          <w:color w:val="auto"/>
          <w:sz w:val="28"/>
          <w:szCs w:val="28"/>
        </w:rPr>
        <w:t>一、综合能力测试（占比 40%）</w:t>
      </w:r>
    </w:p>
    <w:tbl>
      <w:tblPr>
        <w:tblStyle w:val="6"/>
        <w:tblW w:w="0" w:type="auto"/>
        <w:tblInd w:w="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13"/>
        <w:gridCol w:w="73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15" w:hRule="atLeast"/>
        </w:trPr>
        <w:tc>
          <w:tcPr>
            <w:tcW w:w="1513" w:type="dxa"/>
          </w:tcPr>
          <w:p>
            <w:pPr>
              <w:pStyle w:val="9"/>
              <w:spacing w:before="1"/>
              <w:ind w:left="9" w:right="3"/>
              <w:jc w:val="center"/>
              <w:rPr>
                <w:rFonts w:hint="eastAsia" w:ascii="仿宋_GB2312" w:hAnsi="宋体" w:eastAsia="仿宋_GB2312" w:cs="Times New Roman"/>
                <w:b w:val="0"/>
                <w:bCs w:val="0"/>
                <w:color w:val="auto"/>
                <w:kern w:val="0"/>
                <w:sz w:val="28"/>
                <w:szCs w:val="24"/>
                <w:lang w:val="en-US" w:eastAsia="zh-CN" w:bidi="ar-SA"/>
              </w:rPr>
            </w:pPr>
            <w:r>
              <w:rPr>
                <w:rFonts w:hint="eastAsia" w:ascii="仿宋_GB2312" w:hAnsi="宋体" w:eastAsia="仿宋_GB2312" w:cs="Times New Roman"/>
                <w:b w:val="0"/>
                <w:bCs w:val="0"/>
                <w:color w:val="auto"/>
                <w:kern w:val="0"/>
                <w:sz w:val="28"/>
                <w:szCs w:val="24"/>
                <w:lang w:val="en-US" w:eastAsia="zh-CN" w:bidi="ar-SA"/>
              </w:rPr>
              <w:t>类别</w:t>
            </w:r>
          </w:p>
        </w:tc>
        <w:tc>
          <w:tcPr>
            <w:tcW w:w="7304" w:type="dxa"/>
          </w:tcPr>
          <w:p>
            <w:pPr>
              <w:pStyle w:val="9"/>
              <w:spacing w:before="1"/>
              <w:ind w:left="9" w:right="3"/>
              <w:jc w:val="center"/>
              <w:rPr>
                <w:rFonts w:hint="eastAsia" w:ascii="仿宋_GB2312" w:hAnsi="宋体" w:eastAsia="仿宋_GB2312" w:cs="Times New Roman"/>
                <w:b w:val="0"/>
                <w:bCs w:val="0"/>
                <w:color w:val="auto"/>
                <w:kern w:val="0"/>
                <w:sz w:val="28"/>
                <w:szCs w:val="24"/>
                <w:lang w:val="en-US" w:eastAsia="zh-CN" w:bidi="ar-SA"/>
              </w:rPr>
            </w:pPr>
            <w:r>
              <w:rPr>
                <w:rFonts w:hint="eastAsia" w:ascii="仿宋_GB2312" w:hAnsi="宋体" w:eastAsia="仿宋_GB2312" w:cs="Times New Roman"/>
                <w:b w:val="0"/>
                <w:bCs w:val="0"/>
                <w:color w:val="auto"/>
                <w:kern w:val="0"/>
                <w:sz w:val="28"/>
                <w:szCs w:val="24"/>
                <w:lang w:val="en-US" w:eastAsia="zh-CN" w:bidi="ar-SA"/>
              </w:rPr>
              <w:t>考察内容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1513" w:type="dxa"/>
            <w:vMerge w:val="restart"/>
          </w:tcPr>
          <w:p>
            <w:pPr>
              <w:pStyle w:val="9"/>
              <w:keepNext w:val="0"/>
              <w:keepLines w:val="0"/>
              <w:pageBreakBefore w:val="0"/>
              <w:widowControl w:val="0"/>
              <w:kinsoku/>
              <w:wordWrap/>
              <w:overflowPunct/>
              <w:topLinePunct w:val="0"/>
              <w:autoSpaceDE/>
              <w:autoSpaceDN/>
              <w:bidi w:val="0"/>
              <w:adjustRightInd/>
              <w:snapToGrid/>
              <w:textAlignment w:val="auto"/>
              <w:rPr>
                <w:sz w:val="24"/>
              </w:rPr>
            </w:pPr>
          </w:p>
          <w:p>
            <w:pPr>
              <w:pStyle w:val="9"/>
              <w:keepNext w:val="0"/>
              <w:keepLines w:val="0"/>
              <w:pageBreakBefore w:val="0"/>
              <w:widowControl w:val="0"/>
              <w:kinsoku/>
              <w:wordWrap/>
              <w:overflowPunct/>
              <w:topLinePunct w:val="0"/>
              <w:autoSpaceDE/>
              <w:autoSpaceDN/>
              <w:bidi w:val="0"/>
              <w:adjustRightInd/>
              <w:snapToGrid/>
              <w:textAlignment w:val="auto"/>
              <w:rPr>
                <w:sz w:val="24"/>
              </w:rPr>
            </w:pPr>
          </w:p>
          <w:p>
            <w:pPr>
              <w:pStyle w:val="9"/>
              <w:keepNext w:val="0"/>
              <w:keepLines w:val="0"/>
              <w:pageBreakBefore w:val="0"/>
              <w:widowControl w:val="0"/>
              <w:kinsoku/>
              <w:wordWrap/>
              <w:overflowPunct/>
              <w:topLinePunct w:val="0"/>
              <w:autoSpaceDE/>
              <w:autoSpaceDN/>
              <w:bidi w:val="0"/>
              <w:adjustRightInd/>
              <w:snapToGrid/>
              <w:textAlignment w:val="auto"/>
              <w:rPr>
                <w:sz w:val="24"/>
              </w:rPr>
            </w:pPr>
          </w:p>
          <w:p>
            <w:pPr>
              <w:pStyle w:val="9"/>
              <w:keepNext w:val="0"/>
              <w:keepLines w:val="0"/>
              <w:pageBreakBefore w:val="0"/>
              <w:widowControl w:val="0"/>
              <w:kinsoku/>
              <w:wordWrap/>
              <w:overflowPunct/>
              <w:topLinePunct w:val="0"/>
              <w:autoSpaceDE/>
              <w:autoSpaceDN/>
              <w:bidi w:val="0"/>
              <w:adjustRightInd/>
              <w:snapToGrid/>
              <w:textAlignment w:val="auto"/>
              <w:rPr>
                <w:sz w:val="24"/>
              </w:rPr>
            </w:pPr>
          </w:p>
          <w:p>
            <w:pPr>
              <w:pStyle w:val="9"/>
              <w:keepNext w:val="0"/>
              <w:keepLines w:val="0"/>
              <w:pageBreakBefore w:val="0"/>
              <w:widowControl w:val="0"/>
              <w:kinsoku/>
              <w:wordWrap/>
              <w:overflowPunct/>
              <w:topLinePunct w:val="0"/>
              <w:autoSpaceDE/>
              <w:autoSpaceDN/>
              <w:bidi w:val="0"/>
              <w:adjustRightInd/>
              <w:snapToGrid/>
              <w:jc w:val="center"/>
              <w:textAlignment w:val="auto"/>
              <w:rPr>
                <w:sz w:val="24"/>
              </w:rPr>
            </w:pPr>
            <w:r>
              <w:rPr>
                <w:rFonts w:hint="eastAsia" w:ascii="宋体" w:hAnsi="宋体" w:eastAsia="宋体" w:cs="宋体"/>
                <w:b w:val="0"/>
                <w:bCs w:val="0"/>
                <w:color w:val="auto"/>
                <w:kern w:val="0"/>
                <w:sz w:val="21"/>
                <w:szCs w:val="21"/>
                <w:lang w:val="en-US" w:eastAsia="zh-CN" w:bidi="ar-SA"/>
              </w:rPr>
              <w:t>一般能力</w:t>
            </w:r>
          </w:p>
        </w:tc>
        <w:tc>
          <w:tcPr>
            <w:tcW w:w="7304" w:type="dxa"/>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both"/>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言语理解与表达：主要考察应试者运用语言文字进行交流和思考、迅速而又准确地理解文字材料内涵的能力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1513" w:type="dxa"/>
            <w:vMerge w:val="continue"/>
            <w:tcBorders>
              <w:top w:val="nil"/>
            </w:tcBorders>
          </w:tcPr>
          <w:p>
            <w:pPr>
              <w:keepNext w:val="0"/>
              <w:keepLines w:val="0"/>
              <w:pageBreakBefore w:val="0"/>
              <w:widowControl w:val="0"/>
              <w:kinsoku/>
              <w:wordWrap/>
              <w:overflowPunct/>
              <w:topLinePunct w:val="0"/>
              <w:autoSpaceDE/>
              <w:autoSpaceDN/>
              <w:bidi w:val="0"/>
              <w:adjustRightInd/>
              <w:snapToGrid/>
              <w:textAlignment w:val="auto"/>
              <w:rPr>
                <w:sz w:val="2"/>
                <w:szCs w:val="2"/>
              </w:rPr>
            </w:pPr>
          </w:p>
        </w:tc>
        <w:tc>
          <w:tcPr>
            <w:tcW w:w="7304" w:type="dxa"/>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both"/>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判断推理：主要考察应试者对各种事物关系的分析推理能力，涉及对图形、语词概念、事物关系和文字材料的理解、比较、组合、演绎和归纳等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1" w:hRule="atLeast"/>
        </w:trPr>
        <w:tc>
          <w:tcPr>
            <w:tcW w:w="1513" w:type="dxa"/>
            <w:vMerge w:val="continue"/>
            <w:tcBorders>
              <w:top w:val="nil"/>
            </w:tcBorders>
          </w:tcPr>
          <w:p>
            <w:pPr>
              <w:keepNext w:val="0"/>
              <w:keepLines w:val="0"/>
              <w:pageBreakBefore w:val="0"/>
              <w:widowControl w:val="0"/>
              <w:kinsoku/>
              <w:wordWrap/>
              <w:overflowPunct/>
              <w:topLinePunct w:val="0"/>
              <w:autoSpaceDE/>
              <w:autoSpaceDN/>
              <w:bidi w:val="0"/>
              <w:adjustRightInd/>
              <w:snapToGrid/>
              <w:textAlignment w:val="auto"/>
              <w:rPr>
                <w:sz w:val="2"/>
                <w:szCs w:val="2"/>
              </w:rPr>
            </w:pPr>
          </w:p>
        </w:tc>
        <w:tc>
          <w:tcPr>
            <w:tcW w:w="7304" w:type="dxa"/>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both"/>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常识判断：主要考察应试者在经济、文化、社会、生态、法律、科技等方面应知应会的基本知识以及运用这些知识分析判断的基本能力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40" w:hRule="atLeast"/>
        </w:trPr>
        <w:tc>
          <w:tcPr>
            <w:tcW w:w="1513" w:type="dxa"/>
            <w:vMerge w:val="continue"/>
            <w:tcBorders>
              <w:top w:val="nil"/>
            </w:tcBorders>
          </w:tcPr>
          <w:p>
            <w:pPr>
              <w:keepNext w:val="0"/>
              <w:keepLines w:val="0"/>
              <w:pageBreakBefore w:val="0"/>
              <w:widowControl w:val="0"/>
              <w:kinsoku/>
              <w:wordWrap/>
              <w:overflowPunct/>
              <w:topLinePunct w:val="0"/>
              <w:autoSpaceDE/>
              <w:autoSpaceDN/>
              <w:bidi w:val="0"/>
              <w:adjustRightInd/>
              <w:snapToGrid/>
              <w:textAlignment w:val="auto"/>
              <w:rPr>
                <w:sz w:val="2"/>
                <w:szCs w:val="2"/>
              </w:rPr>
            </w:pPr>
          </w:p>
        </w:tc>
        <w:tc>
          <w:tcPr>
            <w:tcW w:w="7304" w:type="dxa"/>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both"/>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数量关系：主要考察应试者理解、把握事物间量化关系和解决数量关系问题的能力，主要涉及数据关系的分析、推理、判断、运算等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20" w:hRule="atLeast"/>
        </w:trPr>
        <w:tc>
          <w:tcPr>
            <w:tcW w:w="1513" w:type="dxa"/>
          </w:tcPr>
          <w:p>
            <w:pPr>
              <w:pStyle w:val="9"/>
              <w:keepNext w:val="0"/>
              <w:keepLines w:val="0"/>
              <w:pageBreakBefore w:val="0"/>
              <w:widowControl w:val="0"/>
              <w:kinsoku/>
              <w:wordWrap/>
              <w:overflowPunct/>
              <w:topLinePunct w:val="0"/>
              <w:autoSpaceDE/>
              <w:autoSpaceDN/>
              <w:bidi w:val="0"/>
              <w:adjustRightInd/>
              <w:snapToGrid/>
              <w:textAlignment w:val="auto"/>
              <w:rPr>
                <w:sz w:val="24"/>
              </w:rPr>
            </w:pPr>
          </w:p>
          <w:p>
            <w:pPr>
              <w:pStyle w:val="9"/>
              <w:keepNext w:val="0"/>
              <w:keepLines w:val="0"/>
              <w:pageBreakBefore w:val="0"/>
              <w:widowControl w:val="0"/>
              <w:kinsoku/>
              <w:wordWrap/>
              <w:overflowPunct/>
              <w:topLinePunct w:val="0"/>
              <w:autoSpaceDE/>
              <w:autoSpaceDN/>
              <w:bidi w:val="0"/>
              <w:adjustRightInd/>
              <w:snapToGrid/>
              <w:jc w:val="center"/>
              <w:textAlignment w:val="auto"/>
              <w:rPr>
                <w:sz w:val="24"/>
              </w:rPr>
            </w:pPr>
            <w:r>
              <w:rPr>
                <w:rFonts w:hint="eastAsia" w:ascii="宋体" w:hAnsi="宋体" w:eastAsia="宋体" w:cs="宋体"/>
                <w:b w:val="0"/>
                <w:bCs w:val="0"/>
                <w:color w:val="auto"/>
                <w:kern w:val="0"/>
                <w:sz w:val="21"/>
                <w:szCs w:val="21"/>
                <w:lang w:val="en-US" w:eastAsia="zh-CN" w:bidi="ar-SA"/>
              </w:rPr>
              <w:t>行业概况</w:t>
            </w:r>
          </w:p>
        </w:tc>
        <w:tc>
          <w:tcPr>
            <w:tcW w:w="7304" w:type="dxa"/>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both"/>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主要考察应试者对中华人民共和国电力法、电力设施保护条例、供电营业规则等电力法律法规的了解程度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20" w:hRule="atLeast"/>
        </w:trPr>
        <w:tc>
          <w:tcPr>
            <w:tcW w:w="1513" w:type="dxa"/>
          </w:tcPr>
          <w:p>
            <w:pPr>
              <w:pStyle w:val="9"/>
              <w:keepNext w:val="0"/>
              <w:keepLines w:val="0"/>
              <w:pageBreakBefore w:val="0"/>
              <w:widowControl w:val="0"/>
              <w:kinsoku/>
              <w:wordWrap/>
              <w:overflowPunct/>
              <w:topLinePunct w:val="0"/>
              <w:autoSpaceDE/>
              <w:autoSpaceDN/>
              <w:bidi w:val="0"/>
              <w:adjustRightInd/>
              <w:snapToGrid/>
              <w:textAlignment w:val="auto"/>
              <w:rPr>
                <w:sz w:val="24"/>
              </w:rPr>
            </w:pPr>
          </w:p>
          <w:p>
            <w:pPr>
              <w:pStyle w:val="9"/>
              <w:keepNext w:val="0"/>
              <w:keepLines w:val="0"/>
              <w:pageBreakBefore w:val="0"/>
              <w:widowControl w:val="0"/>
              <w:kinsoku/>
              <w:wordWrap/>
              <w:overflowPunct/>
              <w:topLinePunct w:val="0"/>
              <w:autoSpaceDE/>
              <w:autoSpaceDN/>
              <w:bidi w:val="0"/>
              <w:adjustRightInd/>
              <w:snapToGrid/>
              <w:jc w:val="center"/>
              <w:textAlignment w:val="auto"/>
              <w:rPr>
                <w:sz w:val="24"/>
              </w:rPr>
            </w:pPr>
            <w:r>
              <w:rPr>
                <w:rFonts w:hint="eastAsia" w:ascii="宋体" w:hAnsi="宋体" w:eastAsia="宋体" w:cs="宋体"/>
                <w:b w:val="0"/>
                <w:bCs w:val="0"/>
                <w:color w:val="auto"/>
                <w:kern w:val="0"/>
                <w:sz w:val="21"/>
                <w:szCs w:val="21"/>
                <w:lang w:val="en-US" w:eastAsia="zh-CN" w:bidi="ar-SA"/>
              </w:rPr>
              <w:t>形势与政策</w:t>
            </w:r>
          </w:p>
        </w:tc>
        <w:tc>
          <w:tcPr>
            <w:tcW w:w="7304" w:type="dxa"/>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both"/>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中国共产党和中国政府在现阶段的重大方针政策，2024 年 1 月至今国际、国内重大时事</w:t>
            </w:r>
          </w:p>
        </w:tc>
      </w:tr>
    </w:tbl>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sz w:val="12"/>
        </w:rPr>
      </w:pPr>
      <w:r>
        <w:rPr>
          <w:rFonts w:hint="eastAsia" w:ascii="宋体" w:hAnsi="宋体" w:eastAsia="宋体" w:cs="宋体"/>
          <w:b w:val="0"/>
          <w:bCs w:val="0"/>
          <w:color w:val="auto"/>
          <w:sz w:val="28"/>
          <w:szCs w:val="28"/>
        </w:rPr>
        <w:t>二、专业能力测试（占比 60%）</w:t>
      </w:r>
    </w:p>
    <w:tbl>
      <w:tblPr>
        <w:tblStyle w:val="6"/>
        <w:tblW w:w="0" w:type="auto"/>
        <w:tblInd w:w="6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13"/>
        <w:gridCol w:w="72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43" w:hRule="atLeast"/>
        </w:trPr>
        <w:tc>
          <w:tcPr>
            <w:tcW w:w="1513" w:type="dxa"/>
          </w:tcPr>
          <w:p>
            <w:pPr>
              <w:pStyle w:val="9"/>
              <w:spacing w:before="1"/>
              <w:ind w:left="9" w:right="3"/>
              <w:jc w:val="center"/>
              <w:rPr>
                <w:rFonts w:hint="eastAsia" w:ascii="仿宋_GB2312" w:hAnsi="宋体" w:eastAsia="仿宋_GB2312" w:cs="Times New Roman"/>
                <w:b w:val="0"/>
                <w:bCs w:val="0"/>
                <w:color w:val="auto"/>
                <w:kern w:val="0"/>
                <w:sz w:val="28"/>
                <w:szCs w:val="24"/>
                <w:lang w:val="en-US" w:eastAsia="zh-CN" w:bidi="ar-SA"/>
              </w:rPr>
            </w:pPr>
            <w:r>
              <w:rPr>
                <w:rFonts w:hint="eastAsia" w:ascii="仿宋_GB2312" w:hAnsi="宋体" w:eastAsia="仿宋_GB2312" w:cs="Times New Roman"/>
                <w:b w:val="0"/>
                <w:bCs w:val="0"/>
                <w:color w:val="auto"/>
                <w:kern w:val="0"/>
                <w:sz w:val="28"/>
                <w:szCs w:val="24"/>
                <w:lang w:val="en-US" w:eastAsia="zh-CN" w:bidi="ar-SA"/>
              </w:rPr>
              <w:t>专业类别</w:t>
            </w:r>
          </w:p>
        </w:tc>
        <w:tc>
          <w:tcPr>
            <w:tcW w:w="7293" w:type="dxa"/>
          </w:tcPr>
          <w:p>
            <w:pPr>
              <w:pStyle w:val="9"/>
              <w:spacing w:before="1"/>
              <w:ind w:left="9" w:right="3"/>
              <w:jc w:val="center"/>
              <w:rPr>
                <w:rFonts w:hint="eastAsia" w:ascii="仿宋_GB2312" w:hAnsi="宋体" w:eastAsia="仿宋_GB2312" w:cs="Times New Roman"/>
                <w:b w:val="0"/>
                <w:bCs w:val="0"/>
                <w:color w:val="auto"/>
                <w:kern w:val="0"/>
                <w:sz w:val="28"/>
                <w:szCs w:val="24"/>
                <w:lang w:val="en-US" w:eastAsia="zh-CN" w:bidi="ar-SA"/>
              </w:rPr>
            </w:pPr>
            <w:r>
              <w:rPr>
                <w:rFonts w:hint="eastAsia" w:ascii="仿宋_GB2312" w:hAnsi="宋体" w:eastAsia="仿宋_GB2312" w:cs="Times New Roman"/>
                <w:b w:val="0"/>
                <w:bCs w:val="0"/>
                <w:color w:val="auto"/>
                <w:kern w:val="0"/>
                <w:sz w:val="28"/>
                <w:szCs w:val="24"/>
                <w:lang w:val="en-US" w:eastAsia="zh-CN" w:bidi="ar-SA"/>
              </w:rPr>
              <w:t>考察内容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513" w:type="dxa"/>
            <w:vAlign w:val="center"/>
          </w:tcPr>
          <w:p>
            <w:pPr>
              <w:pStyle w:val="9"/>
              <w:keepNext w:val="0"/>
              <w:keepLines w:val="0"/>
              <w:pageBreakBefore w:val="0"/>
              <w:widowControl w:val="0"/>
              <w:kinsoku/>
              <w:wordWrap/>
              <w:overflowPunct/>
              <w:topLinePunct w:val="0"/>
              <w:autoSpaceDE/>
              <w:autoSpaceDN/>
              <w:bidi w:val="0"/>
              <w:adjustRightInd/>
              <w:snapToGrid/>
              <w:jc w:val="center"/>
              <w:textAlignment w:val="auto"/>
              <w:rPr>
                <w:sz w:val="24"/>
              </w:rPr>
            </w:pPr>
            <w:r>
              <w:rPr>
                <w:rFonts w:hint="eastAsia" w:ascii="宋体" w:hAnsi="宋体" w:eastAsia="宋体" w:cs="宋体"/>
                <w:b w:val="0"/>
                <w:bCs w:val="0"/>
                <w:color w:val="auto"/>
                <w:kern w:val="0"/>
                <w:sz w:val="21"/>
                <w:szCs w:val="21"/>
                <w:lang w:val="en-US" w:eastAsia="zh-CN" w:bidi="ar-SA"/>
              </w:rPr>
              <w:t>电工基础</w:t>
            </w:r>
          </w:p>
        </w:tc>
        <w:tc>
          <w:tcPr>
            <w:tcW w:w="7293" w:type="dxa"/>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both"/>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重点考察电力系统基础、电工技术等电工学知识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6" w:hRule="atLeast"/>
        </w:trPr>
        <w:tc>
          <w:tcPr>
            <w:tcW w:w="1513" w:type="dxa"/>
            <w:vAlign w:val="center"/>
          </w:tcPr>
          <w:p>
            <w:pPr>
              <w:pStyle w:val="9"/>
              <w:keepNext w:val="0"/>
              <w:keepLines w:val="0"/>
              <w:pageBreakBefore w:val="0"/>
              <w:widowControl w:val="0"/>
              <w:kinsoku/>
              <w:wordWrap/>
              <w:overflowPunct/>
              <w:topLinePunct w:val="0"/>
              <w:autoSpaceDE/>
              <w:autoSpaceDN/>
              <w:bidi w:val="0"/>
              <w:adjustRightInd/>
              <w:snapToGrid/>
              <w:jc w:val="center"/>
              <w:textAlignment w:val="auto"/>
              <w:rPr>
                <w:sz w:val="24"/>
              </w:rPr>
            </w:pPr>
            <w:r>
              <w:rPr>
                <w:rFonts w:hint="eastAsia" w:ascii="宋体" w:hAnsi="宋体" w:eastAsia="宋体" w:cs="宋体"/>
                <w:b w:val="0"/>
                <w:bCs w:val="0"/>
                <w:color w:val="auto"/>
                <w:kern w:val="0"/>
                <w:sz w:val="21"/>
                <w:szCs w:val="21"/>
                <w:lang w:val="en-US" w:eastAsia="zh-CN" w:bidi="ar-SA"/>
              </w:rPr>
              <w:t>计算机基础</w:t>
            </w:r>
          </w:p>
        </w:tc>
        <w:tc>
          <w:tcPr>
            <w:tcW w:w="7293" w:type="dxa"/>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both"/>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重点考察计算机硬件、软件基础、网络技术基础、信息安全技术、信息科学前沿等计算机基础知识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8" w:hRule="atLeast"/>
        </w:trPr>
        <w:tc>
          <w:tcPr>
            <w:tcW w:w="1513" w:type="dxa"/>
            <w:vAlign w:val="center"/>
          </w:tcPr>
          <w:p>
            <w:pPr>
              <w:pStyle w:val="9"/>
              <w:keepNext w:val="0"/>
              <w:keepLines w:val="0"/>
              <w:pageBreakBefore w:val="0"/>
              <w:widowControl w:val="0"/>
              <w:kinsoku/>
              <w:wordWrap/>
              <w:overflowPunct/>
              <w:topLinePunct w:val="0"/>
              <w:autoSpaceDE/>
              <w:autoSpaceDN/>
              <w:bidi w:val="0"/>
              <w:adjustRightInd/>
              <w:snapToGrid/>
              <w:jc w:val="center"/>
              <w:textAlignment w:val="auto"/>
              <w:rPr>
                <w:sz w:val="24"/>
              </w:rPr>
            </w:pPr>
            <w:r>
              <w:rPr>
                <w:rFonts w:hint="eastAsia" w:ascii="宋体" w:hAnsi="宋体" w:eastAsia="宋体" w:cs="宋体"/>
                <w:b w:val="0"/>
                <w:bCs w:val="0"/>
                <w:color w:val="auto"/>
                <w:kern w:val="0"/>
                <w:sz w:val="21"/>
                <w:szCs w:val="21"/>
                <w:lang w:val="en-US" w:eastAsia="zh-CN" w:bidi="ar-SA"/>
              </w:rPr>
              <w:t>数学基础</w:t>
            </w:r>
          </w:p>
        </w:tc>
        <w:tc>
          <w:tcPr>
            <w:tcW w:w="7293" w:type="dxa"/>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both"/>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重点考察高等数学、线性代数、概率论与数理统计等知识</w:t>
            </w:r>
          </w:p>
        </w:tc>
      </w:tr>
    </w:tbl>
    <w:p>
      <w:pPr>
        <w:bidi w:val="0"/>
        <w:jc w:val="left"/>
        <w:rPr>
          <w:rFonts w:hint="eastAsia" w:ascii="仿宋_GB2312" w:hAnsi="宋体" w:eastAsia="仿宋_GB2312"/>
          <w:b w:val="0"/>
          <w:bCs w:val="0"/>
          <w:sz w:val="32"/>
        </w:rPr>
        <w:sectPr>
          <w:pgSz w:w="11906" w:h="16838"/>
          <w:pgMar w:top="1440" w:right="1800" w:bottom="1440" w:left="1800" w:header="851" w:footer="992" w:gutter="0"/>
          <w:cols w:space="425" w:num="1"/>
          <w:docGrid w:type="lines" w:linePitch="312" w:charSpace="0"/>
        </w:sectPr>
      </w:pPr>
    </w:p>
    <w:p>
      <w:pPr>
        <w:bidi w:val="0"/>
        <w:jc w:val="left"/>
        <w:rPr>
          <w:rFonts w:hint="eastAsia" w:ascii="仿宋_GB2312" w:hAnsi="宋体" w:eastAsia="仿宋_GB2312"/>
          <w:b w:val="0"/>
          <w:bCs w:val="0"/>
          <w:sz w:val="32"/>
        </w:rPr>
      </w:pPr>
      <w:r>
        <w:rPr>
          <w:rFonts w:hint="eastAsia" w:ascii="仿宋_GB2312" w:hAnsi="宋体" w:eastAsia="仿宋_GB2312"/>
          <w:b w:val="0"/>
          <w:bCs w:val="0"/>
          <w:sz w:val="32"/>
        </w:rPr>
        <w:t>附</w:t>
      </w:r>
      <w:r>
        <w:rPr>
          <w:rFonts w:hint="eastAsia" w:ascii="仿宋_GB2312" w:hAnsi="宋体" w:eastAsia="仿宋_GB2312"/>
          <w:b w:val="0"/>
          <w:bCs w:val="0"/>
          <w:sz w:val="32"/>
          <w:lang w:val="en-US" w:eastAsia="zh-CN"/>
        </w:rPr>
        <w:t>件2</w:t>
      </w:r>
      <w:r>
        <w:rPr>
          <w:rFonts w:hint="eastAsia" w:ascii="仿宋_GB2312" w:hAnsi="宋体" w:eastAsia="仿宋_GB2312"/>
          <w:b w:val="0"/>
          <w:bCs w:val="0"/>
          <w:sz w:val="32"/>
        </w:rPr>
        <w:t>：</w:t>
      </w:r>
    </w:p>
    <w:p>
      <w:pPr>
        <w:keepNext w:val="0"/>
        <w:keepLines w:val="0"/>
        <w:pageBreakBefore w:val="0"/>
        <w:widowControl w:val="0"/>
        <w:kinsoku/>
        <w:wordWrap/>
        <w:overflowPunct/>
        <w:topLinePunct w:val="0"/>
        <w:autoSpaceDE/>
        <w:autoSpaceDN/>
        <w:bidi w:val="0"/>
        <w:adjustRightInd/>
        <w:snapToGrid/>
        <w:spacing w:after="0" w:afterLines="100"/>
        <w:ind w:firstLine="840" w:firstLineChars="300"/>
        <w:jc w:val="center"/>
        <w:textAlignment w:val="auto"/>
        <w:rPr>
          <w:rFonts w:hint="eastAsia" w:ascii="宋体" w:hAnsi="宋体" w:eastAsia="宋体" w:cs="宋体"/>
          <w:b w:val="0"/>
          <w:bCs w:val="0"/>
          <w:color w:val="auto"/>
          <w:sz w:val="32"/>
          <w:szCs w:val="32"/>
          <w:lang w:val="en-US" w:eastAsia="zh-CN"/>
        </w:rPr>
      </w:pPr>
      <w:r>
        <w:rPr>
          <w:rFonts w:hint="eastAsia" w:ascii="宋体" w:hAnsi="宋体" w:eastAsia="宋体" w:cs="宋体"/>
          <w:b w:val="0"/>
          <w:bCs w:val="0"/>
          <w:color w:val="auto"/>
          <w:sz w:val="28"/>
          <w:szCs w:val="28"/>
          <w:lang w:val="en-US" w:eastAsia="zh-CN"/>
        </w:rPr>
        <w:t>2025年山东地区光明电力服务公司招聘专业分类目录</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80"/>
        <w:gridCol w:w="1395"/>
        <w:gridCol w:w="2055"/>
        <w:gridCol w:w="3780"/>
        <w:gridCol w:w="192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85" w:hRule="atLeast"/>
          <w:jc w:val="center"/>
        </w:trPr>
        <w:tc>
          <w:tcPr>
            <w:tcW w:w="780" w:type="dxa"/>
            <w:shd w:val="clear" w:color="auto" w:fill="F1F1F1"/>
            <w:vAlign w:val="center"/>
          </w:tcPr>
          <w:p>
            <w:pPr>
              <w:pStyle w:val="9"/>
              <w:spacing w:before="1"/>
              <w:ind w:left="9" w:right="3"/>
              <w:jc w:val="center"/>
              <w:rPr>
                <w:rFonts w:hint="eastAsia" w:ascii="仿宋_GB2312" w:hAnsi="宋体" w:eastAsia="仿宋_GB2312" w:cs="Times New Roman"/>
                <w:b w:val="0"/>
                <w:bCs w:val="0"/>
                <w:color w:val="auto"/>
                <w:kern w:val="0"/>
                <w:sz w:val="28"/>
                <w:szCs w:val="24"/>
                <w:lang w:val="en-US" w:eastAsia="zh-CN" w:bidi="ar-SA"/>
              </w:rPr>
            </w:pPr>
            <w:r>
              <w:rPr>
                <w:rFonts w:hint="eastAsia" w:ascii="仿宋_GB2312" w:hAnsi="宋体" w:eastAsia="仿宋_GB2312" w:cs="Times New Roman"/>
                <w:b w:val="0"/>
                <w:bCs w:val="0"/>
                <w:color w:val="auto"/>
                <w:kern w:val="0"/>
                <w:sz w:val="28"/>
                <w:szCs w:val="24"/>
                <w:lang w:val="en-US" w:eastAsia="zh-CN" w:bidi="ar-SA"/>
              </w:rPr>
              <w:t>序号</w:t>
            </w:r>
          </w:p>
        </w:tc>
        <w:tc>
          <w:tcPr>
            <w:tcW w:w="1395" w:type="dxa"/>
            <w:shd w:val="clear" w:color="auto" w:fill="F1F1F1"/>
            <w:vAlign w:val="center"/>
          </w:tcPr>
          <w:p>
            <w:pPr>
              <w:pStyle w:val="9"/>
              <w:spacing w:before="1"/>
              <w:ind w:left="9" w:right="3"/>
              <w:jc w:val="center"/>
              <w:rPr>
                <w:rFonts w:hint="eastAsia" w:ascii="仿宋_GB2312" w:hAnsi="宋体" w:eastAsia="仿宋_GB2312" w:cs="Times New Roman"/>
                <w:b w:val="0"/>
                <w:bCs w:val="0"/>
                <w:color w:val="auto"/>
                <w:kern w:val="0"/>
                <w:sz w:val="28"/>
                <w:szCs w:val="24"/>
                <w:lang w:val="en-US" w:eastAsia="zh-CN" w:bidi="ar-SA"/>
              </w:rPr>
            </w:pPr>
            <w:r>
              <w:rPr>
                <w:rFonts w:hint="eastAsia" w:ascii="仿宋_GB2312" w:hAnsi="宋体" w:eastAsia="仿宋_GB2312" w:cs="Times New Roman"/>
                <w:b w:val="0"/>
                <w:bCs w:val="0"/>
                <w:color w:val="auto"/>
                <w:kern w:val="0"/>
                <w:sz w:val="28"/>
                <w:szCs w:val="24"/>
                <w:lang w:val="en-US" w:eastAsia="zh-CN" w:bidi="ar-SA"/>
              </w:rPr>
              <w:t>年度</w:t>
            </w:r>
          </w:p>
        </w:tc>
        <w:tc>
          <w:tcPr>
            <w:tcW w:w="2055" w:type="dxa"/>
            <w:shd w:val="clear" w:color="auto" w:fill="F1F1F1"/>
            <w:vAlign w:val="center"/>
          </w:tcPr>
          <w:p>
            <w:pPr>
              <w:pStyle w:val="9"/>
              <w:spacing w:before="1"/>
              <w:ind w:left="9" w:right="3"/>
              <w:jc w:val="center"/>
              <w:rPr>
                <w:rFonts w:hint="eastAsia" w:ascii="仿宋_GB2312" w:hAnsi="宋体" w:eastAsia="仿宋_GB2312" w:cs="Times New Roman"/>
                <w:b w:val="0"/>
                <w:bCs w:val="0"/>
                <w:color w:val="auto"/>
                <w:kern w:val="0"/>
                <w:sz w:val="28"/>
                <w:szCs w:val="24"/>
                <w:lang w:val="en-US" w:eastAsia="zh-CN" w:bidi="ar-SA"/>
              </w:rPr>
            </w:pPr>
            <w:r>
              <w:rPr>
                <w:rFonts w:hint="eastAsia" w:ascii="仿宋_GB2312" w:hAnsi="宋体" w:eastAsia="仿宋_GB2312" w:cs="Times New Roman"/>
                <w:b w:val="0"/>
                <w:bCs w:val="0"/>
                <w:color w:val="auto"/>
                <w:kern w:val="0"/>
                <w:sz w:val="28"/>
                <w:szCs w:val="24"/>
                <w:lang w:val="en-US" w:eastAsia="zh-CN" w:bidi="ar-SA"/>
              </w:rPr>
              <w:t>学历要求</w:t>
            </w:r>
          </w:p>
        </w:tc>
        <w:tc>
          <w:tcPr>
            <w:tcW w:w="3780" w:type="dxa"/>
            <w:shd w:val="clear" w:color="auto" w:fill="F1F1F1"/>
            <w:vAlign w:val="center"/>
          </w:tcPr>
          <w:p>
            <w:pPr>
              <w:pStyle w:val="9"/>
              <w:spacing w:before="1"/>
              <w:ind w:left="9" w:right="3"/>
              <w:jc w:val="center"/>
              <w:rPr>
                <w:rFonts w:hint="eastAsia" w:ascii="仿宋_GB2312" w:hAnsi="宋体" w:eastAsia="仿宋_GB2312" w:cs="Times New Roman"/>
                <w:b w:val="0"/>
                <w:bCs w:val="0"/>
                <w:color w:val="auto"/>
                <w:kern w:val="0"/>
                <w:sz w:val="28"/>
                <w:szCs w:val="24"/>
                <w:lang w:val="en-US" w:eastAsia="zh-CN" w:bidi="ar-SA"/>
              </w:rPr>
            </w:pPr>
            <w:r>
              <w:rPr>
                <w:rFonts w:hint="eastAsia" w:ascii="仿宋_GB2312" w:hAnsi="宋体" w:eastAsia="仿宋_GB2312" w:cs="Times New Roman"/>
                <w:b w:val="0"/>
                <w:bCs w:val="0"/>
                <w:color w:val="auto"/>
                <w:kern w:val="0"/>
                <w:sz w:val="28"/>
                <w:szCs w:val="24"/>
                <w:lang w:val="en-US" w:eastAsia="zh-CN" w:bidi="ar-SA"/>
              </w:rPr>
              <w:t>招聘专业</w:t>
            </w:r>
          </w:p>
        </w:tc>
        <w:tc>
          <w:tcPr>
            <w:tcW w:w="1920" w:type="dxa"/>
            <w:shd w:val="clear" w:color="auto" w:fill="F1F1F1"/>
            <w:vAlign w:val="center"/>
          </w:tcPr>
          <w:p>
            <w:pPr>
              <w:pStyle w:val="9"/>
              <w:spacing w:before="1"/>
              <w:ind w:left="9" w:right="3"/>
              <w:jc w:val="center"/>
              <w:rPr>
                <w:rFonts w:hint="eastAsia" w:ascii="仿宋_GB2312" w:hAnsi="宋体" w:eastAsia="仿宋_GB2312" w:cs="Times New Roman"/>
                <w:b w:val="0"/>
                <w:bCs w:val="0"/>
                <w:color w:val="auto"/>
                <w:kern w:val="0"/>
                <w:sz w:val="28"/>
                <w:szCs w:val="24"/>
                <w:lang w:val="en-US" w:eastAsia="zh-CN" w:bidi="ar-SA"/>
              </w:rPr>
            </w:pPr>
            <w:r>
              <w:rPr>
                <w:rFonts w:hint="eastAsia" w:ascii="仿宋_GB2312" w:hAnsi="宋体" w:eastAsia="仿宋_GB2312" w:cs="Times New Roman"/>
                <w:b w:val="0"/>
                <w:bCs w:val="0"/>
                <w:color w:val="auto"/>
                <w:kern w:val="0"/>
                <w:sz w:val="28"/>
                <w:szCs w:val="24"/>
                <w:lang w:val="en-US" w:eastAsia="zh-CN" w:bidi="ar-SA"/>
              </w:rPr>
              <w:t>招聘专业分类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新能源发电技术</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发电厂及电力系统</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3</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电厂设备运行与维护</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4</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电厂热能动力装置</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5</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火电厂集控运行</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6</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小型水电站及电力网</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7</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光伏发电技术及应用</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8</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供用电技术</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9</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电机与电器技术</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10</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用电监察与管理</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11</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电力工程技术</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12</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风力发电设备及电网自动化</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13</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高电压技术</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14</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用电管理</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15</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电力电子技术</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16</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电力客户服务与管理</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17</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太阳能光电应用技术</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18</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输变电工程技术</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19</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电厂化学</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农村电气化技术</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21</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高压输配电线路施工运行与维护</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22</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电力系统继电保护与自动化</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23</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电网监控技术</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24</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分布式发电与智能微电网技术</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25</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节电技术与管理</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26</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分布式发电与微电网技术</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27</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电源变换技术与应用</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28</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水电站与电力网</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29</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电力系统继电保护与自动化技术</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30</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防雷技术（高电压技术）</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31</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电气工程技术</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32</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电力系统自动化技术</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33</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电气自动化技术</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34</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风能发电设备制造与维修</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35</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电机与电器</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36</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输配电工程技术</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37</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水电站与电力网技术</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38</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农业电气化技术</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39</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水电站机电设备与自动化</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40</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农业电气化</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41</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农业电气化与自动化</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42</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电气与电子工程</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43</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智能电网信息工程</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44</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电气工程与智能控制</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45</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电力工程与管理</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46</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电气信息工程</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47</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光源与照明</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48</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电力系统及其自动化</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49</w:t>
            </w:r>
          </w:p>
        </w:tc>
        <w:tc>
          <w:tcPr>
            <w:tcW w:w="139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电气工程及其自动化</w:t>
            </w:r>
          </w:p>
        </w:tc>
        <w:tc>
          <w:tcPr>
            <w:tcW w:w="1920" w:type="dxa"/>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50</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农业电气化与自动化</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51</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高级电力系统工程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52</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能源和电力系统</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53</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电子与电气工程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54</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电气工程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55</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电工理论与新技术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56</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电力电子与电力传动</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57</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高电压与绝缘技术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58</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电力系统及其自动化</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59</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电机与电器</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60</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可再生能源与清洁能源</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61</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光伏与太阳能</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62</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电气信息技术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63</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智能电网信息与通信工程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64</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电力信息技术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65</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电力工程经济与管理</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66</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电气系统检测与控制</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67</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可持续能源系统</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68</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可持续性能源技术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69</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未来电力系统</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70</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电气工程与信息技术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71</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能源系统</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72</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智能电网与控制</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73</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电磁环境科学与技术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74</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能源与可持续性电力工程技术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电工类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75</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电子电路设计与工艺</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76</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新能源电子技术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77</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微电子技术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78</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电子工艺与管理</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79</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电子测量技术与仪器</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80</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应用电子技术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81</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电子信息工程技术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82</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物联网应用技术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83</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软件技术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84</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计算机信息管理</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85</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计算机系统维护</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86</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计算机网络技术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87</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计算机应用技术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88</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通信工程设计与管理</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89</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智能电网技术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90</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通信系统运行管理</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91</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移动通信技术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92</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网络工程技术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93</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通信技术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94</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软件工程技术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95</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计算机应用工程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96</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现代通信工程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97</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98</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微电子科学与工程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99</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光电子技术科学</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100</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信息科学技术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101</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信息安全</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102</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光信息科学与技术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103</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微电子学</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104</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电子信息科学与技术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105</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软件工程（+电气工程及其自动化）</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106</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光电信息科学与工程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107</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物联网工程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108</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电子与计算机工程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109</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信息与通信工程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110</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电信工程及管理</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111</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电磁场与无线技术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112</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智能科学与技术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113</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计算机软件</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114</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空间信息与数字技术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115</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电子信息技术及仪器</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116</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光电信息工程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117</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集成电路设计与集成系统</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118</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信息显示与光电技术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119</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网络工程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120</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软件工程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121</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信息工程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122</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电子科学与技术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123</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计算机科学与技术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124</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通信工程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125</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126</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物联网工程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127</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计算机通信</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128</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计算机科学与技术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129</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软件工程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130</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软件工程与智能系统</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131</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计算机科学</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132</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计算机应用技术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133</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通信工程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134</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信息与通信工程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135</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信息安全</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136</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网络与信息安全</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137</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计算机技术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138</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电子与通信工程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139</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计算机软件与理论</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140</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计算机系统结构</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141</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信号与信息处理</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142</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通信与信息系统</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143</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144</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电子科学与技术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电子信息类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145</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测绘工程技术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146</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建筑新能源工程技术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147</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化学电源技术及应用</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148</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太阳能光热技术及应用</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149</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新能源应用技术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150</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农村能源与环境技术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151</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热能动力设备与应用</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152</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工程测量与监理</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153</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工程测量技术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154</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建设工程管理</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155</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建筑智能化工程技术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156</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建筑工程技术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157</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光机电应用技术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158</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自动化生产设备应用</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159</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机电设备维修与管理</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160</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集散控制系统应用与维护技术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161</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物联网工程技术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162</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电子商务技术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163</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云计算技术与应用</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164</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移动应用开发</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165</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信息安全与管理</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166</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智能监控技术应用</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167</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光伏应用技术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168</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给排水与环境工程技术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169</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建筑水电技术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170</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消防工程技术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171</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给排水工程技术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172</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机电安装工程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173</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工业设备安装工程技术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174</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建筑电气工程技术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175</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供热通风与空调工程技术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176</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建筑设备工程技术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177</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光伏建筑一体化技术与应用</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178</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建筑钢结构工程技术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179</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土木工程检测技术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180</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水电站动力设备与管理</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181</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工业机器人技术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182</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智能控制技术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183</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工业自动化仪表</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184</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生产过程自动化技术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185</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机电一体化技术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186</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电线电缆制造技术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187</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机械制造生产管理</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188</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机械制造工艺及设备</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189</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数控技术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190</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机械制造与自动化</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191</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机械设计与制造</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192</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机电设备运行与维护</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193</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热能动力工程技术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194</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发电运行技术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195</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风力发电工程技术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196</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电厂化学与环保技术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197</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新能源装备技术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198</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智能制造装备技术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199</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机电设备技术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200</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建筑消防技术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201</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工业节能技术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太阳能光热技术与应用</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203</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生物质能应用技术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204</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光伏工程技术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205</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工业过程自动化技术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206</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大学专科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工业工程技术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207</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工业工程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208</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环境生态工程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209</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消防工程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210</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工程结构分析</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211</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工程力学</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212</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建筑环境与能源应用工程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213</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环保设备工程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214</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环境监察</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215</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电厂热能动力装置</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216</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通风空调与给排水工程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217</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无人机运用工程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218</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测控工程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219</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测量工程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220</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应用化学</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221</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控制与信息系统</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222</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微电子制造工程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223</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环境科学与工程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224</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安全工程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225</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环境工程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226</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遥感科学与技术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227</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测绘工程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228</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土木工程(输电工程)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229</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水利水电工程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230</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建筑工程管理</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231</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建筑节能技术与工程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232</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建筑电气与智能化</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233</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给排水科学与工程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234</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建筑设施智能技术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235</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给水排水工程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236</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建筑环境与设备工程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237</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土木工程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238</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建筑学</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239</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机械工程及自动化(输电线路工程)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240</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能源与环境系统工程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241</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工程物理</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242</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能源与动力工程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243</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计量测试技术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244</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测控技术与仪器</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245</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机械工程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246</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机械设计制造及自动化</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247</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微机电系统工程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248</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制造自动化与测控技术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249</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机械电子工程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250</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机械工程及自动化</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251</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过程装备与控制工程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252</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机械设计制造及其自动化</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253</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新能源材料与器件</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254</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无机非金属材料工程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255</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环境科学</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256</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能源工程及自动化</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257</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自动化</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258</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能源与资源工程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259</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新能源科学与工程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260</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风能与动力工程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261</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能源动力系统及自动化</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262</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工业设计</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263</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材料科学与工程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264</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建筑工程</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265</w:t>
            </w:r>
          </w:p>
        </w:tc>
        <w:tc>
          <w:tcPr>
            <w:tcW w:w="139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机械电子工程技术</w:t>
            </w:r>
          </w:p>
        </w:tc>
        <w:tc>
          <w:tcPr>
            <w:tcW w:w="1920" w:type="dxa"/>
            <w:shd w:val="clear" w:color="auto" w:fill="auto"/>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266</w:t>
            </w:r>
          </w:p>
        </w:tc>
        <w:tc>
          <w:tcPr>
            <w:tcW w:w="139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岩土工程</w:t>
            </w:r>
          </w:p>
        </w:tc>
        <w:tc>
          <w:tcPr>
            <w:tcW w:w="192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267</w:t>
            </w:r>
          </w:p>
        </w:tc>
        <w:tc>
          <w:tcPr>
            <w:tcW w:w="139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建筑技术科学</w:t>
            </w:r>
          </w:p>
        </w:tc>
        <w:tc>
          <w:tcPr>
            <w:tcW w:w="192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268</w:t>
            </w:r>
          </w:p>
        </w:tc>
        <w:tc>
          <w:tcPr>
            <w:tcW w:w="139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电力系统及智能控制</w:t>
            </w:r>
          </w:p>
        </w:tc>
        <w:tc>
          <w:tcPr>
            <w:tcW w:w="192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269</w:t>
            </w:r>
          </w:p>
        </w:tc>
        <w:tc>
          <w:tcPr>
            <w:tcW w:w="139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控制科学与工程</w:t>
            </w:r>
          </w:p>
        </w:tc>
        <w:tc>
          <w:tcPr>
            <w:tcW w:w="192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270</w:t>
            </w:r>
          </w:p>
        </w:tc>
        <w:tc>
          <w:tcPr>
            <w:tcW w:w="139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模式识别与智能系统</w:t>
            </w:r>
          </w:p>
        </w:tc>
        <w:tc>
          <w:tcPr>
            <w:tcW w:w="192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271</w:t>
            </w:r>
          </w:p>
        </w:tc>
        <w:tc>
          <w:tcPr>
            <w:tcW w:w="139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检测技术与自动化装置</w:t>
            </w:r>
          </w:p>
        </w:tc>
        <w:tc>
          <w:tcPr>
            <w:tcW w:w="192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272</w:t>
            </w:r>
          </w:p>
        </w:tc>
        <w:tc>
          <w:tcPr>
            <w:tcW w:w="139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控制理论与控制工程</w:t>
            </w:r>
          </w:p>
        </w:tc>
        <w:tc>
          <w:tcPr>
            <w:tcW w:w="192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273</w:t>
            </w:r>
          </w:p>
        </w:tc>
        <w:tc>
          <w:tcPr>
            <w:tcW w:w="139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结构工程</w:t>
            </w:r>
          </w:p>
        </w:tc>
        <w:tc>
          <w:tcPr>
            <w:tcW w:w="192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274</w:t>
            </w:r>
          </w:p>
        </w:tc>
        <w:tc>
          <w:tcPr>
            <w:tcW w:w="139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土木工程</w:t>
            </w:r>
          </w:p>
        </w:tc>
        <w:tc>
          <w:tcPr>
            <w:tcW w:w="192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275</w:t>
            </w:r>
          </w:p>
        </w:tc>
        <w:tc>
          <w:tcPr>
            <w:tcW w:w="139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建筑与土木工程</w:t>
            </w:r>
          </w:p>
        </w:tc>
        <w:tc>
          <w:tcPr>
            <w:tcW w:w="192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276</w:t>
            </w:r>
          </w:p>
        </w:tc>
        <w:tc>
          <w:tcPr>
            <w:tcW w:w="139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控制工程</w:t>
            </w:r>
          </w:p>
        </w:tc>
        <w:tc>
          <w:tcPr>
            <w:tcW w:w="192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277</w:t>
            </w:r>
          </w:p>
        </w:tc>
        <w:tc>
          <w:tcPr>
            <w:tcW w:w="139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机械工程</w:t>
            </w:r>
          </w:p>
        </w:tc>
        <w:tc>
          <w:tcPr>
            <w:tcW w:w="192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278</w:t>
            </w:r>
          </w:p>
        </w:tc>
        <w:tc>
          <w:tcPr>
            <w:tcW w:w="139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市政工程</w:t>
            </w:r>
          </w:p>
        </w:tc>
        <w:tc>
          <w:tcPr>
            <w:tcW w:w="192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279</w:t>
            </w:r>
          </w:p>
        </w:tc>
        <w:tc>
          <w:tcPr>
            <w:tcW w:w="139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系统与控制</w:t>
            </w:r>
          </w:p>
        </w:tc>
        <w:tc>
          <w:tcPr>
            <w:tcW w:w="192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280</w:t>
            </w:r>
          </w:p>
        </w:tc>
        <w:tc>
          <w:tcPr>
            <w:tcW w:w="139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机械工程(制造系统信息工程)</w:t>
            </w:r>
          </w:p>
        </w:tc>
        <w:tc>
          <w:tcPr>
            <w:tcW w:w="192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281</w:t>
            </w:r>
          </w:p>
        </w:tc>
        <w:tc>
          <w:tcPr>
            <w:tcW w:w="139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机械设计及理论</w:t>
            </w:r>
          </w:p>
        </w:tc>
        <w:tc>
          <w:tcPr>
            <w:tcW w:w="192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282</w:t>
            </w:r>
          </w:p>
        </w:tc>
        <w:tc>
          <w:tcPr>
            <w:tcW w:w="139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机械电子工程</w:t>
            </w:r>
          </w:p>
        </w:tc>
        <w:tc>
          <w:tcPr>
            <w:tcW w:w="192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283</w:t>
            </w:r>
          </w:p>
        </w:tc>
        <w:tc>
          <w:tcPr>
            <w:tcW w:w="139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机械制造及其自动化</w:t>
            </w:r>
          </w:p>
        </w:tc>
        <w:tc>
          <w:tcPr>
            <w:tcW w:w="192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284</w:t>
            </w:r>
          </w:p>
        </w:tc>
        <w:tc>
          <w:tcPr>
            <w:tcW w:w="139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工程力学</w:t>
            </w:r>
          </w:p>
        </w:tc>
        <w:tc>
          <w:tcPr>
            <w:tcW w:w="192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285</w:t>
            </w:r>
          </w:p>
        </w:tc>
        <w:tc>
          <w:tcPr>
            <w:tcW w:w="139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控制系统</w:t>
            </w:r>
          </w:p>
        </w:tc>
        <w:tc>
          <w:tcPr>
            <w:tcW w:w="192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其他工学类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286</w:t>
            </w:r>
          </w:p>
        </w:tc>
        <w:tc>
          <w:tcPr>
            <w:tcW w:w="139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物流管理</w:t>
            </w:r>
          </w:p>
        </w:tc>
        <w:tc>
          <w:tcPr>
            <w:tcW w:w="192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管理类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287</w:t>
            </w:r>
          </w:p>
        </w:tc>
        <w:tc>
          <w:tcPr>
            <w:tcW w:w="139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应用统计学</w:t>
            </w:r>
          </w:p>
        </w:tc>
        <w:tc>
          <w:tcPr>
            <w:tcW w:w="192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管理类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288</w:t>
            </w:r>
          </w:p>
        </w:tc>
        <w:tc>
          <w:tcPr>
            <w:tcW w:w="139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统计学</w:t>
            </w:r>
          </w:p>
        </w:tc>
        <w:tc>
          <w:tcPr>
            <w:tcW w:w="192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管理类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289</w:t>
            </w:r>
          </w:p>
        </w:tc>
        <w:tc>
          <w:tcPr>
            <w:tcW w:w="139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工商管理</w:t>
            </w:r>
          </w:p>
        </w:tc>
        <w:tc>
          <w:tcPr>
            <w:tcW w:w="192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管理类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290</w:t>
            </w:r>
          </w:p>
        </w:tc>
        <w:tc>
          <w:tcPr>
            <w:tcW w:w="139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技术经济</w:t>
            </w:r>
          </w:p>
        </w:tc>
        <w:tc>
          <w:tcPr>
            <w:tcW w:w="192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管理类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291</w:t>
            </w:r>
          </w:p>
        </w:tc>
        <w:tc>
          <w:tcPr>
            <w:tcW w:w="139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工程造价</w:t>
            </w:r>
          </w:p>
        </w:tc>
        <w:tc>
          <w:tcPr>
            <w:tcW w:w="192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管理类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292</w:t>
            </w:r>
          </w:p>
        </w:tc>
        <w:tc>
          <w:tcPr>
            <w:tcW w:w="139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工程管理</w:t>
            </w:r>
          </w:p>
        </w:tc>
        <w:tc>
          <w:tcPr>
            <w:tcW w:w="192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管理类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293</w:t>
            </w:r>
          </w:p>
        </w:tc>
        <w:tc>
          <w:tcPr>
            <w:tcW w:w="139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信息管理与信息系统</w:t>
            </w:r>
          </w:p>
        </w:tc>
        <w:tc>
          <w:tcPr>
            <w:tcW w:w="192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管理类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294</w:t>
            </w:r>
          </w:p>
        </w:tc>
        <w:tc>
          <w:tcPr>
            <w:tcW w:w="139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市场营销</w:t>
            </w:r>
          </w:p>
        </w:tc>
        <w:tc>
          <w:tcPr>
            <w:tcW w:w="192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管理类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295</w:t>
            </w:r>
          </w:p>
        </w:tc>
        <w:tc>
          <w:tcPr>
            <w:tcW w:w="139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信息资源管理</w:t>
            </w:r>
          </w:p>
        </w:tc>
        <w:tc>
          <w:tcPr>
            <w:tcW w:w="192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管理类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296</w:t>
            </w:r>
          </w:p>
        </w:tc>
        <w:tc>
          <w:tcPr>
            <w:tcW w:w="139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电子商务及法律</w:t>
            </w:r>
          </w:p>
        </w:tc>
        <w:tc>
          <w:tcPr>
            <w:tcW w:w="192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管理类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297</w:t>
            </w:r>
          </w:p>
        </w:tc>
        <w:tc>
          <w:tcPr>
            <w:tcW w:w="139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电子商务</w:t>
            </w:r>
          </w:p>
        </w:tc>
        <w:tc>
          <w:tcPr>
            <w:tcW w:w="192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管理类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298</w:t>
            </w:r>
          </w:p>
        </w:tc>
        <w:tc>
          <w:tcPr>
            <w:tcW w:w="139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现代物流管理</w:t>
            </w:r>
          </w:p>
        </w:tc>
        <w:tc>
          <w:tcPr>
            <w:tcW w:w="192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管理类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299</w:t>
            </w:r>
          </w:p>
        </w:tc>
        <w:tc>
          <w:tcPr>
            <w:tcW w:w="139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大数据与财务管理</w:t>
            </w:r>
          </w:p>
        </w:tc>
        <w:tc>
          <w:tcPr>
            <w:tcW w:w="192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管理类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300</w:t>
            </w:r>
          </w:p>
        </w:tc>
        <w:tc>
          <w:tcPr>
            <w:tcW w:w="139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大数据与会计</w:t>
            </w:r>
          </w:p>
        </w:tc>
        <w:tc>
          <w:tcPr>
            <w:tcW w:w="192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管理类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301</w:t>
            </w:r>
          </w:p>
        </w:tc>
        <w:tc>
          <w:tcPr>
            <w:tcW w:w="139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人力资源管理</w:t>
            </w:r>
          </w:p>
        </w:tc>
        <w:tc>
          <w:tcPr>
            <w:tcW w:w="192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管理类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302</w:t>
            </w:r>
          </w:p>
        </w:tc>
        <w:tc>
          <w:tcPr>
            <w:tcW w:w="139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应用统计</w:t>
            </w:r>
          </w:p>
        </w:tc>
        <w:tc>
          <w:tcPr>
            <w:tcW w:w="192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管理类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303</w:t>
            </w:r>
          </w:p>
        </w:tc>
        <w:tc>
          <w:tcPr>
            <w:tcW w:w="139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统计学</w:t>
            </w:r>
          </w:p>
        </w:tc>
        <w:tc>
          <w:tcPr>
            <w:tcW w:w="192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管理类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304</w:t>
            </w:r>
          </w:p>
        </w:tc>
        <w:tc>
          <w:tcPr>
            <w:tcW w:w="139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工商管理</w:t>
            </w:r>
          </w:p>
        </w:tc>
        <w:tc>
          <w:tcPr>
            <w:tcW w:w="192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管理类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305</w:t>
            </w:r>
          </w:p>
        </w:tc>
        <w:tc>
          <w:tcPr>
            <w:tcW w:w="139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工商管理硕士</w:t>
            </w:r>
          </w:p>
        </w:tc>
        <w:tc>
          <w:tcPr>
            <w:tcW w:w="192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管理类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306</w:t>
            </w:r>
          </w:p>
        </w:tc>
        <w:tc>
          <w:tcPr>
            <w:tcW w:w="139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财政学</w:t>
            </w:r>
          </w:p>
        </w:tc>
        <w:tc>
          <w:tcPr>
            <w:tcW w:w="192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金融财务类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255" w:hRule="atLeast"/>
          <w:jc w:val="center"/>
        </w:trPr>
        <w:tc>
          <w:tcPr>
            <w:tcW w:w="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307</w:t>
            </w:r>
          </w:p>
        </w:tc>
        <w:tc>
          <w:tcPr>
            <w:tcW w:w="139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审计学</w:t>
            </w:r>
          </w:p>
        </w:tc>
        <w:tc>
          <w:tcPr>
            <w:tcW w:w="192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金融财务类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308</w:t>
            </w:r>
          </w:p>
        </w:tc>
        <w:tc>
          <w:tcPr>
            <w:tcW w:w="139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财务管理</w:t>
            </w:r>
          </w:p>
        </w:tc>
        <w:tc>
          <w:tcPr>
            <w:tcW w:w="192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金融财务类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309</w:t>
            </w:r>
          </w:p>
        </w:tc>
        <w:tc>
          <w:tcPr>
            <w:tcW w:w="139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会计学</w:t>
            </w:r>
          </w:p>
        </w:tc>
        <w:tc>
          <w:tcPr>
            <w:tcW w:w="192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金融财务类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310</w:t>
            </w:r>
          </w:p>
        </w:tc>
        <w:tc>
          <w:tcPr>
            <w:tcW w:w="139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硕士研究生</w:t>
            </w:r>
          </w:p>
        </w:tc>
        <w:tc>
          <w:tcPr>
            <w:tcW w:w="3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财政学</w:t>
            </w:r>
          </w:p>
        </w:tc>
        <w:tc>
          <w:tcPr>
            <w:tcW w:w="192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金融财务类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311</w:t>
            </w:r>
          </w:p>
        </w:tc>
        <w:tc>
          <w:tcPr>
            <w:tcW w:w="139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信息与计算科学</w:t>
            </w:r>
          </w:p>
        </w:tc>
        <w:tc>
          <w:tcPr>
            <w:tcW w:w="192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其他专业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312</w:t>
            </w:r>
          </w:p>
        </w:tc>
        <w:tc>
          <w:tcPr>
            <w:tcW w:w="139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2025</w:t>
            </w:r>
          </w:p>
        </w:tc>
        <w:tc>
          <w:tcPr>
            <w:tcW w:w="2055"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大学本科</w:t>
            </w:r>
          </w:p>
        </w:tc>
        <w:tc>
          <w:tcPr>
            <w:tcW w:w="378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法学</w:t>
            </w:r>
          </w:p>
        </w:tc>
        <w:tc>
          <w:tcPr>
            <w:tcW w:w="1920" w:type="dxa"/>
            <w:shd w:val="clear" w:color="auto" w:fill="auto"/>
            <w:vAlign w:val="center"/>
          </w:tcPr>
          <w:p>
            <w:pPr>
              <w:pStyle w:val="9"/>
              <w:keepNext w:val="0"/>
              <w:keepLines w:val="0"/>
              <w:pageBreakBefore w:val="0"/>
              <w:widowControl w:val="0"/>
              <w:kinsoku/>
              <w:wordWrap/>
              <w:overflowPunct/>
              <w:topLinePunct w:val="0"/>
              <w:autoSpaceDE/>
              <w:autoSpaceDN/>
              <w:bidi w:val="0"/>
              <w:adjustRightInd/>
              <w:snapToGrid/>
              <w:spacing w:line="188" w:lineRule="auto"/>
              <w:ind w:left="108" w:right="96"/>
              <w:jc w:val="center"/>
              <w:textAlignment w:val="auto"/>
              <w:rPr>
                <w:rFonts w:hint="eastAsia" w:ascii="宋体" w:hAnsi="宋体" w:eastAsia="宋体" w:cs="宋体"/>
                <w:b w:val="0"/>
                <w:bCs w:val="0"/>
                <w:color w:val="auto"/>
                <w:kern w:val="0"/>
                <w:sz w:val="21"/>
                <w:szCs w:val="21"/>
                <w:lang w:val="en-US" w:eastAsia="zh-CN" w:bidi="ar-SA"/>
              </w:rPr>
            </w:pPr>
            <w:r>
              <w:rPr>
                <w:rFonts w:hint="eastAsia" w:ascii="宋体" w:hAnsi="宋体" w:eastAsia="宋体" w:cs="宋体"/>
                <w:b w:val="0"/>
                <w:bCs w:val="0"/>
                <w:color w:val="auto"/>
                <w:kern w:val="0"/>
                <w:sz w:val="21"/>
                <w:szCs w:val="21"/>
                <w:lang w:val="en-US" w:eastAsia="zh-CN" w:bidi="ar-SA"/>
              </w:rPr>
              <w:t>其他专业</w:t>
            </w:r>
          </w:p>
        </w:tc>
      </w:tr>
    </w:tbl>
    <w:p>
      <w:pPr>
        <w:bidi w:val="0"/>
        <w:jc w:val="left"/>
        <w:rPr>
          <w:rFonts w:hint="eastAsia" w:asciiTheme="minorHAnsi" w:hAnsiTheme="minorHAnsi" w:eastAsiaTheme="minorEastAsia" w:cstheme="minorBidi"/>
          <w:kern w:val="2"/>
          <w:sz w:val="21"/>
          <w:szCs w:val="24"/>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altName w:val="微软雅黑"/>
    <w:panose1 w:val="00000000000000000000"/>
    <w:charset w:val="00"/>
    <w:family w:val="auto"/>
    <w:pitch w:val="default"/>
    <w:sig w:usb0="00000000" w:usb1="00000000" w:usb2="00000000" w:usb3="00000000" w:csb0="00000000" w:csb1="00000000"/>
  </w:font>
  <w:font w:name="方正仿宋_GBK">
    <w:altName w:val="微软雅黑"/>
    <w:panose1 w:val="03000509000000000000"/>
    <w:charset w:val="86"/>
    <w:family w:val="script"/>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Microsoft JhengHei">
    <w:panose1 w:val="020B0604030504040204"/>
    <w:charset w:val="88"/>
    <w:family w:val="swiss"/>
    <w:pitch w:val="default"/>
    <w:sig w:usb0="00000087" w:usb1="28AF4000" w:usb2="00000016" w:usb3="00000000" w:csb0="00100009"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E15A90"/>
    <w:rsid w:val="00DB635A"/>
    <w:rsid w:val="0AE15A90"/>
    <w:rsid w:val="20036852"/>
    <w:rsid w:val="24264886"/>
    <w:rsid w:val="27452BC8"/>
    <w:rsid w:val="2F7C2AF8"/>
    <w:rsid w:val="41277B9D"/>
    <w:rsid w:val="4B5C1B9D"/>
    <w:rsid w:val="4B6832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8"/>
    <w:qFormat/>
    <w:uiPriority w:val="0"/>
    <w:pPr>
      <w:keepNext/>
      <w:keepLines/>
      <w:spacing w:beforeLines="0" w:beforeAutospacing="0" w:afterLines="0" w:afterAutospacing="0" w:line="240" w:lineRule="auto"/>
      <w:ind w:firstLine="880" w:firstLineChars="200"/>
      <w:jc w:val="left"/>
      <w:outlineLvl w:val="0"/>
    </w:pPr>
    <w:rPr>
      <w:rFonts w:eastAsia="方正黑体_GBK" w:asciiTheme="minorAscii" w:hAnsiTheme="minorAscii"/>
      <w:kern w:val="44"/>
      <w:sz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style>
  <w:style w:type="paragraph" w:styleId="4">
    <w:name w:val="Body Text"/>
    <w:basedOn w:val="1"/>
    <w:qFormat/>
    <w:uiPriority w:val="1"/>
    <w:pPr>
      <w:spacing w:before="3"/>
    </w:pPr>
    <w:rPr>
      <w:rFonts w:ascii="宋体" w:hAnsi="宋体" w:eastAsia="宋体" w:cs="宋体"/>
      <w:sz w:val="24"/>
      <w:szCs w:val="24"/>
      <w:lang w:val="en-US" w:eastAsia="zh-CN" w:bidi="ar-SA"/>
    </w:rPr>
  </w:style>
  <w:style w:type="paragraph" w:styleId="5">
    <w:name w:val="Normal (Web)"/>
    <w:basedOn w:val="1"/>
    <w:qFormat/>
    <w:uiPriority w:val="0"/>
    <w:pPr>
      <w:spacing w:before="-2147483648" w:beforeAutospacing="1" w:after="-2147483648" w:afterAutospacing="1"/>
      <w:ind w:left="0" w:right="0" w:firstLine="880" w:firstLineChars="200"/>
      <w:jc w:val="left"/>
    </w:pPr>
    <w:rPr>
      <w:rFonts w:eastAsia="方正仿宋_GBK" w:asciiTheme="minorAscii" w:hAnsiTheme="minorAscii"/>
      <w:kern w:val="0"/>
      <w:sz w:val="30"/>
      <w:lang w:bidi="ar"/>
    </w:rPr>
  </w:style>
  <w:style w:type="character" w:customStyle="1" w:styleId="8">
    <w:name w:val="标题 1 Char"/>
    <w:link w:val="3"/>
    <w:qFormat/>
    <w:uiPriority w:val="0"/>
    <w:rPr>
      <w:rFonts w:eastAsia="方正黑体_GBK" w:asciiTheme="minorAscii" w:hAnsiTheme="minorAscii"/>
      <w:kern w:val="44"/>
      <w:sz w:val="32"/>
    </w:rPr>
  </w:style>
  <w:style w:type="paragraph" w:customStyle="1" w:styleId="9">
    <w:name w:val="Table Paragraph"/>
    <w:basedOn w:val="1"/>
    <w:qFormat/>
    <w:uiPriority w:val="1"/>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962</Words>
  <Characters>1009</Characters>
  <Lines>0</Lines>
  <Paragraphs>0</Paragraphs>
  <TotalTime>5</TotalTime>
  <ScaleCrop>false</ScaleCrop>
  <LinksUpToDate>false</LinksUpToDate>
  <CharactersWithSpaces>1009</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2025-05-08T10:16:00Z</dcterms:created>
  <dc:creator>飘了</dc:creator>
  <cp:lastModifiedBy>lenovo</cp:lastModifiedBy>
  <dcterms:modified xsi:type="dcterms:W3CDTF">2025-05-09T00:50:54Z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3E035E9A00A34C3E8475AD3D0662B849</vt:lpwstr>
  </property>
  <property fmtid="{D5CDD505-2E9C-101B-9397-08002B2CF9AE}" pid="4" name="KSOTemplateDocerSaveRecord">
    <vt:lpwstr>eyJoZGlkIjoiMjM1ODFiMjUyMTliNzdjZmVjOWMxYWJhYmU4NWY2ZjkiLCJ1c2VySWQiOiI1NDEyOTkzMDYifQ==</vt:lpwstr>
  </property>
</Properties>
</file>