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8069580"/>
            <wp:effectExtent l="0" t="0" r="4445"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72405" cy="8069580"/>
                    </a:xfrm>
                    <a:prstGeom prst="rect">
                      <a:avLst/>
                    </a:prstGeom>
                    <a:noFill/>
                    <a:ln w="9525">
                      <a:noFill/>
                    </a:ln>
                  </pic:spPr>
                </pic:pic>
              </a:graphicData>
            </a:graphic>
          </wp:inline>
        </w:drawing>
      </w:r>
    </w:p>
    <w:p>
      <w:pPr>
        <w:rPr>
          <w:rFonts w:hint="eastAsia"/>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Pic"/>
      <w:bookmarkEnd w:id="0"/>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区块链国富论</w:t>
      </w:r>
      <w:r>
        <w:rPr>
          <w:rFonts w:hint="default" w:asciiTheme="minorHAnsi" w:hAnsiTheme="minorHAnsi" w:eastAsiaTheme="minorEastAsia" w:cstheme="minorBidi"/>
          <w:b w:val="0"/>
          <w:kern w:val="0"/>
          <w:sz w:val="24"/>
          <w:szCs w:val="24"/>
          <w:lang w:val="en-US" w:eastAsia="zh-CN" w:bidi="ar"/>
        </w:rPr>
        <w:t>：论全球信用算法共识的未来财富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作者：韩锋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等著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"https://book.jd.com/publish/%E6%9C%BA%E6%A2%B0%E5%B7%A5%E4%B8%9A%E5%87%BA%E7%89%88%E7%A4%BE_1.html" \o "机械工业出版社"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机械工业出版社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9787111675631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260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:精装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从亚当·斯密的《国富论》和尤瓦尔·赫拉利的《人类简史》出发,论证了全球自由市场的运行要超越以货易货的原始阶段,就需要信用资源,而人类文明史的发展说明这样的信用资源是靠全球达成财富共识实现的,财富共识是超越具体商品的使用价值而达成的信用共识, 这是智人（Sapiens）认知革命的一部分。从贝壳、铜钱、白银、黄金,直到近代银行发行的纸币莫不如此,只不过具体的共识算法不同罢了。比特币利用密码学和区块链技术,在人类历史上开启了基于数字确权和分布式算法达成财富共识的新时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推荐序  量子时代和数字经济2.0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自序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xml:space="preserve">第1章  财富的本质/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第2章  财富共识产生的七大原则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44"/>
          <w:szCs w:val="44"/>
          <w:lang w:val="en-US" w:eastAsia="zh-CN" w:bidi="ar"/>
        </w:rPr>
      </w:pPr>
      <w:r>
        <w:rPr>
          <w:rFonts w:hint="eastAsia" w:cstheme="minorBidi"/>
          <w:b w:val="0"/>
          <w:kern w:val="0"/>
          <w:sz w:val="44"/>
          <w:szCs w:val="4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第6章 从牛顿力学的实在观到量子力学的实在观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第7章  从分布式计算思维看财富共识的达成和计算 / </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drawing>
          <wp:inline distT="0" distB="0" distL="114300" distR="114300">
            <wp:extent cx="5272405" cy="8499475"/>
            <wp:effectExtent l="0" t="0" r="4445" b="1587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272405" cy="849947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大国竞合 把握中美关系的未来走势、挑战和机遇?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作者：彼得·沃克 陈春华 著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出版社：中信</w:t>
      </w:r>
      <w:r>
        <w:rPr>
          <w:rFonts w:hint="default" w:asciiTheme="minorHAnsi" w:hAnsiTheme="minorHAnsi" w:eastAsiaTheme="minorEastAsia" w:cstheme="minorBidi"/>
          <w:b w:val="0"/>
          <w:kern w:val="0"/>
          <w:sz w:val="24"/>
          <w:szCs w:val="24"/>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ISBN：9787521728156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68</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w:t>
      </w:r>
      <w:r>
        <w:rPr>
          <w:rFonts w:hint="eastAsia"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这本书从中美两国的历史和文化渊源出发，对中美两国在经济、教育、法治、民主形式、世界观、价值观、思维模式等方面的异同及根源进行了客观分析，指出中美两国的历史、文化和现实国情不同，存在认知偏差在所难免，因此要加强相互了解，超越认知藩篱，消弭理解赤字，寻求共同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导 论</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1.背景：根植于历史文化的治理和思维模式的要素将不会改变</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2.文化：差异的主要来源</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3.经济表现：真正的战场</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4.教育体系：重要性随着先进技术的快速发展而凸显</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5.人权与法治：美国的绝对主义与中国的相对主义</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6.民主的形式：美国的选举民主与中国的回应民意</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7.世界观与军事：美国重民主和人权的传播；中国重经济利益，轻对外扩张</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8.未来之路</w:t>
      </w:r>
      <w:r>
        <w:rPr>
          <w:rFonts w:hint="default" w:asciiTheme="minorHAnsi" w:hAnsiTheme="minorHAnsi" w:eastAsiaTheme="minorEastAsia" w:cstheme="minorBidi"/>
          <w:b w:val="0"/>
          <w:kern w:val="0"/>
          <w:sz w:val="24"/>
          <w:szCs w:val="24"/>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844155"/>
            <wp:effectExtent l="0" t="0" r="4445" b="444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5272405" cy="784415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东大教授世界文学讲义（全五册）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作者：[日]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"https://book.jd.com/writer/%E6%B2%BC%E9%87%8E%E5%85%85%E4%B9%89_1.html"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沼野充义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"https://book.jd.com/publish/%E6%B5%99%E6%B1%9F%E6%96%87%E8%89%BA%E5%87%BA%E7%89%88%E7%A4%BE_1.html" \o "浙江文艺出版社"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浙江文艺出版社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SBN：9787533965792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1423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426.00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东大教授世界文学讲义系列是由东京大学文学教授、著名文学家沼野充义的世界文学课讲义。内容为作者沼野充义与23位当代知名作家、学者（来自、美国、中国、波兰、保加利亚等国）的文学对谈构成。该系列书为东京大学文艺理论专业本科生和研究生的必读目，也是东大文学专业学生基础读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《东大教授世界文学讲义1》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《东大教授世界文学讲义</w:t>
      </w:r>
      <w:r>
        <w:rPr>
          <w:rFonts w:hint="eastAsia" w:asciiTheme="minorHAnsi" w:hAnsiTheme="minorHAnsi" w:eastAsiaTheme="minorEastAsia" w:cstheme="minorBidi"/>
          <w:b w:val="0"/>
          <w:kern w:val="0"/>
          <w:sz w:val="24"/>
          <w:szCs w:val="24"/>
          <w:lang w:val="en-US" w:eastAsia="zh-CN" w:bidi="ar"/>
        </w:rPr>
        <w:t>2</w:t>
      </w:r>
      <w:r>
        <w:rPr>
          <w:rFonts w:hint="default" w:asciiTheme="minorHAnsi" w:hAnsiTheme="minorHAnsi" w:eastAsiaTheme="minorEastAsia" w:cstheme="minorBidi"/>
          <w:b w:val="0"/>
          <w:kern w:val="0"/>
          <w:sz w:val="24"/>
          <w:szCs w:val="24"/>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《东大教授世界文学讲义</w:t>
      </w:r>
      <w:r>
        <w:rPr>
          <w:rFonts w:hint="eastAsia" w:asciiTheme="minorHAnsi" w:hAnsiTheme="minorHAnsi" w:eastAsiaTheme="minorEastAsia" w:cstheme="minorBidi"/>
          <w:b w:val="0"/>
          <w:kern w:val="0"/>
          <w:sz w:val="24"/>
          <w:szCs w:val="24"/>
          <w:lang w:val="en-US" w:eastAsia="zh-CN" w:bidi="ar"/>
        </w:rPr>
        <w:t>3</w:t>
      </w:r>
      <w:r>
        <w:rPr>
          <w:rFonts w:hint="default" w:asciiTheme="minorHAnsi" w:hAnsiTheme="minorHAnsi" w:eastAsiaTheme="minorEastAsia" w:cstheme="minorBidi"/>
          <w:b w:val="0"/>
          <w:kern w:val="0"/>
          <w:sz w:val="24"/>
          <w:szCs w:val="24"/>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《东大教授世界文学讲义</w:t>
      </w:r>
      <w:r>
        <w:rPr>
          <w:rFonts w:hint="eastAsia" w:asciiTheme="minorHAnsi" w:hAnsiTheme="minorHAnsi" w:eastAsiaTheme="minorEastAsia" w:cstheme="minorBidi"/>
          <w:b w:val="0"/>
          <w:kern w:val="0"/>
          <w:sz w:val="24"/>
          <w:szCs w:val="24"/>
          <w:lang w:val="en-US" w:eastAsia="zh-CN" w:bidi="ar"/>
        </w:rPr>
        <w:t>4</w:t>
      </w:r>
      <w:r>
        <w:rPr>
          <w:rFonts w:hint="default" w:asciiTheme="minorHAnsi" w:hAnsiTheme="minorHAnsi" w:eastAsiaTheme="minorEastAsia" w:cstheme="minorBidi"/>
          <w:b w:val="0"/>
          <w:kern w:val="0"/>
          <w:sz w:val="24"/>
          <w:szCs w:val="24"/>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《东大教授世界文学讲义</w:t>
      </w:r>
      <w:r>
        <w:rPr>
          <w:rFonts w:hint="eastAsia" w:asciiTheme="minorHAnsi" w:hAnsiTheme="minorHAnsi" w:eastAsiaTheme="minorEastAsia" w:cstheme="minorBidi"/>
          <w:b w:val="0"/>
          <w:kern w:val="0"/>
          <w:sz w:val="24"/>
          <w:szCs w:val="24"/>
          <w:lang w:val="en-US" w:eastAsia="zh-CN" w:bidi="ar"/>
        </w:rPr>
        <w:t>5</w:t>
      </w:r>
      <w:r>
        <w:rPr>
          <w:rFonts w:hint="default" w:asciiTheme="minorHAnsi" w:hAnsiTheme="minorHAnsi" w:eastAsiaTheme="minorEastAsia" w:cstheme="minorBidi"/>
          <w:b w:val="0"/>
          <w:kern w:val="0"/>
          <w:sz w:val="24"/>
          <w:szCs w:val="24"/>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748905"/>
            <wp:effectExtent l="0" t="0" r="4445" b="444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stretch>
                      <a:fillRect/>
                    </a:stretch>
                  </pic:blipFill>
                  <pic:spPr>
                    <a:xfrm>
                      <a:off x="0" y="0"/>
                      <a:ext cx="5272405" cy="774890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书名：欧丽娟红楼梦公开课（一）</w:t>
      </w: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"https://book.jd.com/writer/%E6%AC%A7%E4%B8%BD%E5%A8%9F_1.html"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欧丽娟</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"https://book.jd.com/publish/%E5%8C%97%E4%BA%AC%E5%A4%A7%E5%AD%A6%E5%87%BA%E7%89%88%E7%A4%BE_1.html" \o "北京大学出版社"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北京大学出版社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ISBN：9787301321171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cstheme="minorBidi"/>
          <w:b w:val="0"/>
          <w:kern w:val="0"/>
          <w:sz w:val="24"/>
          <w:szCs w:val="24"/>
          <w:lang w:val="en-US" w:eastAsia="zh-CN" w:bidi="ar"/>
        </w:rPr>
        <w:t>3</w:t>
      </w:r>
      <w:r>
        <w:rPr>
          <w:rFonts w:hint="eastAsia" w:asciiTheme="minorHAnsi" w:hAnsiTheme="minorHAnsi" w:eastAsiaTheme="minorEastAsia" w:cstheme="minorBidi"/>
          <w:b w:val="0"/>
          <w:kern w:val="0"/>
          <w:sz w:val="24"/>
          <w:szCs w:val="24"/>
          <w:lang w:val="en-US" w:eastAsia="zh-CN" w:bidi="ar"/>
        </w:rPr>
        <w:t>19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128.00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不哭不笑也不痛骂，这才是阅读红楼梦的至高境界。”现象级的红楼梦公开课，网上点击量达天文数字，一百七十多讲逐字稿，一字一句，精雕细琢，主讲人欧丽娟教授亲自审定，嘉惠华人世界广大红楼梦爱好者。本册为第1—27单元的内容。“学问中便是正事。此刻于小事上用学问一提，那小事越发作高一层了。不拿学问提着，便都流入市俗去了。”红楼梦在今日世界的百科全书式主讲者欧丽娟，“用学问一提”，让《红楼梦》的视野“作高一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如何读红楼梦 / 1</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钟鸣鼎食之家，诗礼簪缨之族 / 55</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畸零石与绛珠草：红楼梦的神话操演 / 101</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曹雪芹的塔罗牌 / 181</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贾宝玉的启悟 / 349</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大观园的园址与辟建 / 425</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大观园空间巡礼 / 479</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大观园屋舍小讲 / 547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415020"/>
            <wp:effectExtent l="0" t="0" r="4445" b="508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tretch>
                      <a:fillRect/>
                    </a:stretch>
                  </pic:blipFill>
                  <pic:spPr>
                    <a:xfrm>
                      <a:off x="0" y="0"/>
                      <a:ext cx="5272405" cy="841502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共同富裕(科学内涵与实现路径)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"https://book.jd.com/writer/%E5%8E%89%E4%BB%A5%E5%AE%81//%E9%BB%84%E5%A5%87%E5%B8%86//%E5%88%98%E4%B8%96%E9%94%A6//%E8%94%A1%E6%98%89//%E7%8E%8B%E4%B8%80%E9%B8%A3%E7%AD%89_1.html"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厉以宁//黄奇帆//刘世锦//蔡昉//王一鸣等</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出版社：中信出版社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出版时间：2022-01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定价：88</w:t>
      </w:r>
      <w:r>
        <w:rPr>
          <w:rFonts w:hint="eastAsia" w:asciiTheme="minorHAnsi" w:hAnsiTheme="minorHAnsi" w:eastAsiaTheme="minorEastAsia" w:cstheme="minorBidi"/>
          <w:b w:val="0"/>
          <w:kern w:val="0"/>
          <w:sz w:val="24"/>
          <w:szCs w:val="24"/>
          <w:lang w:val="en-US" w:eastAsia="zh-CN" w:bidi="ar"/>
        </w:rPr>
        <w:t>.00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9787521737905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页码：378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360" w:firstLineChars="200"/>
        <w:jc w:val="left"/>
        <w:rPr>
          <w:rFonts w:hint="eastAsia" w:asciiTheme="minorHAnsi" w:hAnsiTheme="minorHAnsi" w:eastAsiaTheme="minorEastAsia" w:cstheme="minorBidi"/>
          <w:b w:val="0"/>
          <w:kern w:val="0"/>
          <w:sz w:val="24"/>
          <w:szCs w:val="24"/>
          <w:lang w:val="en-US" w:eastAsia="zh-CN" w:bidi="ar"/>
        </w:rPr>
      </w:pPr>
      <w:r>
        <w:rPr>
          <w:rFonts w:ascii="pingfangSC" w:hAnsi="pingfangSC" w:eastAsia="pingfangSC" w:cs="pingfangSC"/>
          <w:i w:val="0"/>
          <w:caps w:val="0"/>
          <w:color w:val="666666"/>
          <w:spacing w:val="0"/>
          <w:sz w:val="18"/>
          <w:szCs w:val="18"/>
          <w:shd w:val="clear" w:fill="FFFFFF"/>
        </w:rPr>
        <w:t>  </w:t>
      </w:r>
      <w:r>
        <w:rPr>
          <w:rFonts w:hint="default" w:asciiTheme="minorHAnsi" w:hAnsiTheme="minorHAnsi" w:eastAsiaTheme="minorEastAsia" w:cstheme="minorBidi"/>
          <w:b w:val="0"/>
          <w:kern w:val="0"/>
          <w:sz w:val="24"/>
          <w:szCs w:val="24"/>
          <w:lang w:val="en-US" w:eastAsia="zh-CN" w:bidi="ar"/>
        </w:rPr>
        <w:t> 随着全面建成小康社会的目标实现，我国开启了“扎实推动共同富裕”新征程。实现共同富裕既是重大经济问题，也是关系党的执政基础的重大政治问题。目前我国发展不平衡不充分的问题仍很突出，必须坚持在高质量发展中促进共同富裕。其中关于就业、住房、教育、医疗、收入、养老等方面的宏观规划，关乎共同富裕的目标，也与我们每个人息息相关。 </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    </w:t>
      </w:r>
      <w:r>
        <w:rPr>
          <w:rFonts w:hint="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本书由马建堂作序，黄奇帆领衔解读，厉以宁、刘世锦、蔡昉等知名经济学家执笔，阐述了共同富裕的科学内涵、重点任务、实现路径和战略举措，帮助读者全面准确理解共同富裕，明晰中国式现代化新道路，把握新发展机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cstheme="minorBidi"/>
          <w:b w:val="0"/>
          <w:kern w:val="0"/>
          <w:sz w:val="24"/>
          <w:szCs w:val="24"/>
          <w:lang w:val="en-US" w:eastAsia="zh-CN" w:bidi="ar"/>
        </w:rPr>
        <w:t>第一</w:t>
      </w:r>
      <w:r>
        <w:rPr>
          <w:rFonts w:hint="default" w:asciiTheme="minorHAnsi" w:hAnsiTheme="minorHAnsi" w:eastAsiaTheme="minorEastAsia" w:cstheme="minorBidi"/>
          <w:b w:val="0"/>
          <w:kern w:val="0"/>
          <w:sz w:val="24"/>
          <w:szCs w:val="24"/>
          <w:lang w:val="en-US" w:eastAsia="zh-CN" w:bidi="ar"/>
        </w:rPr>
        <w:t>篇    共同富裕的战略重点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第二篇    经济发展与共同富裕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第三篇    收入分配与共同富裕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第四篇    市场主体与共同富裕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default" w:asciiTheme="minorHAnsi" w:hAnsiTheme="minorHAnsi" w:eastAsiaTheme="minorEastAsia" w:cstheme="minorBidi"/>
          <w:b w:val="0"/>
          <w:kern w:val="0"/>
          <w:sz w:val="24"/>
          <w:szCs w:val="24"/>
          <w:lang w:val="en-US" w:eastAsia="zh-CN" w:bidi="ar"/>
        </w:rPr>
        <w:t>第五篇    中国式现代化新道路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046085"/>
            <wp:effectExtent l="0" t="0" r="4445" b="1206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0"/>
                    <a:stretch>
                      <a:fillRect/>
                    </a:stretch>
                  </pic:blipFill>
                  <pic:spPr>
                    <a:xfrm>
                      <a:off x="0" y="0"/>
                      <a:ext cx="5272405" cy="804608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w:t>
      </w:r>
      <w:r>
        <w:rPr>
          <w:rFonts w:hint="eastAsia" w:asciiTheme="minorHAnsi" w:hAnsiTheme="minorHAnsi" w:eastAsiaTheme="minorEastAsia" w:cstheme="minorBidi"/>
          <w:b w:val="0"/>
          <w:kern w:val="0"/>
          <w:sz w:val="24"/>
          <w:szCs w:val="24"/>
          <w:lang w:val="en-US" w:eastAsia="zh-CN" w:bidi="ar"/>
        </w:rPr>
        <w:t>诗想者·读经典·作家中的作家2：北美洲与南美洲卷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88</w:t>
      </w:r>
      <w:r>
        <w:rPr>
          <w:rFonts w:hint="default" w:asciiTheme="minorHAnsi" w:hAnsiTheme="minorHAnsi" w:eastAsiaTheme="minorEastAsia" w:cstheme="minorBidi"/>
          <w:b w:val="0"/>
          <w:kern w:val="0"/>
          <w:sz w:val="24"/>
          <w:szCs w:val="24"/>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邱华栋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广西师范大学出版社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出版日期：2022-0</w:t>
      </w:r>
      <w:r>
        <w:rPr>
          <w:rFonts w:hint="eastAsia" w:asciiTheme="minorHAnsi" w:hAnsiTheme="minorHAnsi" w:eastAsiaTheme="minorEastAsia" w:cstheme="minorBidi"/>
          <w:b w:val="0"/>
          <w:kern w:val="0"/>
          <w:sz w:val="24"/>
          <w:szCs w:val="24"/>
          <w:lang w:val="en-US" w:eastAsia="zh-CN" w:bidi="ar"/>
        </w:rPr>
        <w:t>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9787559844224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384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w:t>
      </w:r>
      <w:r>
        <w:rPr>
          <w:rFonts w:hint="default" w:asciiTheme="minorHAnsi" w:hAnsiTheme="minorHAnsi" w:eastAsiaTheme="minorEastAsia" w:cstheme="minorBidi"/>
          <w:b w:val="0"/>
          <w:kern w:val="0"/>
          <w:sz w:val="24"/>
          <w:szCs w:val="24"/>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cstheme="minorBidi"/>
          <w:b w:val="0"/>
          <w:kern w:val="0"/>
          <w:sz w:val="24"/>
          <w:szCs w:val="24"/>
          <w:lang w:val="en-US" w:eastAsia="zh-CN" w:bidi="ar"/>
        </w:rPr>
      </w:pPr>
      <w:r>
        <w:rPr>
          <w:rFonts w:hint="eastAsia" w:cstheme="minorBidi"/>
          <w:b w:val="0"/>
          <w:kern w:val="0"/>
          <w:sz w:val="24"/>
          <w:szCs w:val="24"/>
          <w:lang w:val="en-US" w:eastAsia="zh-CN" w:bidi="ar"/>
        </w:rPr>
        <w:t>作家邱华栋选择了北美洲与南美洲的二十一位现代文学大师，如海明威、纳博科夫、托妮·莫里森、杰克·凯鲁亚克、加西亚·马尔克斯、阿莱霍·卡彭铁尔等，通过个人的阅读与观察，精心梳理并剖析作家的整体创作，博观而约取，对重要作品进行重点解读，力求描绘、呈现作家的精神世界，可谓一部“美洲文学大师创作史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001 海明威：行动的人，行动的小说和哲学</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017 纳博科夫：小说魔法师</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036 索尔·贝娄：美国知识分子的灵魂图谱</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052 菲利普·罗斯：写作“的美国小说”</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074 约翰·厄普代克：一片平原</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jc w:val="left"/>
        <w:rPr>
          <w:rFonts w:hint="eastAsia" w:asciiTheme="minorHAnsi" w:hAnsiTheme="minorHAnsi" w:eastAsiaTheme="minorEastAsia" w:cstheme="minorBidi"/>
          <w:b w:val="0"/>
          <w:kern w:val="0"/>
          <w:sz w:val="24"/>
          <w:szCs w:val="24"/>
          <w:lang w:val="en-US" w:eastAsia="zh-CN" w:bidi="ar"/>
        </w:rPr>
      </w:pPr>
      <w:r>
        <w:rPr>
          <w:rFonts w:hint="eastAsia" w:cstheme="minorBidi"/>
          <w:b w:val="0"/>
          <w:kern w:val="0"/>
          <w:sz w:val="24"/>
          <w:szCs w:val="24"/>
          <w:lang w:val="en-US" w:eastAsia="zh-CN" w:bidi="ar"/>
        </w:rPr>
        <w:t>.......</w:t>
      </w:r>
      <w:bookmarkStart w:id="1" w:name="_GoBack"/>
      <w:bookmarkEnd w:id="1"/>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291 胡里奥·科塔萨尔：意义与游戏</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305 玛格丽特·阿特伍德：加拿大“文学女王”</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328 库尔特·冯内古特：“没有国家的人”</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343 唐纳德·巴塞尔姆：垃圾美学与元小说碎片</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360 保罗·奥斯特：镜像游戏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C46EE"/>
    <w:multiLevelType w:val="singleLevel"/>
    <w:tmpl w:val="21FC46EE"/>
    <w:lvl w:ilvl="0" w:tentative="0">
      <w:start w:val="1"/>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1D764A4"/>
    <w:rsid w:val="026B52A8"/>
    <w:rsid w:val="0404395C"/>
    <w:rsid w:val="04F226DF"/>
    <w:rsid w:val="05FE3655"/>
    <w:rsid w:val="06005D4F"/>
    <w:rsid w:val="073E4821"/>
    <w:rsid w:val="07E95068"/>
    <w:rsid w:val="08C7736C"/>
    <w:rsid w:val="09080709"/>
    <w:rsid w:val="0D081194"/>
    <w:rsid w:val="0FBF0FEB"/>
    <w:rsid w:val="110C73D5"/>
    <w:rsid w:val="12BF44A8"/>
    <w:rsid w:val="148E744A"/>
    <w:rsid w:val="17DF2ACF"/>
    <w:rsid w:val="186E2F1A"/>
    <w:rsid w:val="186E53E6"/>
    <w:rsid w:val="18C03F3C"/>
    <w:rsid w:val="18EC0EC8"/>
    <w:rsid w:val="1A745F99"/>
    <w:rsid w:val="1AA21A31"/>
    <w:rsid w:val="1BCE4CF0"/>
    <w:rsid w:val="1C150605"/>
    <w:rsid w:val="1C5342F5"/>
    <w:rsid w:val="1CB302CB"/>
    <w:rsid w:val="1D8A7C54"/>
    <w:rsid w:val="1DE354B7"/>
    <w:rsid w:val="1DF63A5D"/>
    <w:rsid w:val="24A70C5B"/>
    <w:rsid w:val="252808FD"/>
    <w:rsid w:val="26D836ED"/>
    <w:rsid w:val="272B7EDF"/>
    <w:rsid w:val="28EB1926"/>
    <w:rsid w:val="29872D19"/>
    <w:rsid w:val="29A052DE"/>
    <w:rsid w:val="29D04FE7"/>
    <w:rsid w:val="2A0738C1"/>
    <w:rsid w:val="2B1E39A5"/>
    <w:rsid w:val="2D8F4E20"/>
    <w:rsid w:val="2D9B67DD"/>
    <w:rsid w:val="2DAF120C"/>
    <w:rsid w:val="2EE17643"/>
    <w:rsid w:val="2F2E599C"/>
    <w:rsid w:val="3181111E"/>
    <w:rsid w:val="327728A3"/>
    <w:rsid w:val="32A66FC4"/>
    <w:rsid w:val="32D86BAA"/>
    <w:rsid w:val="32EB096F"/>
    <w:rsid w:val="33AE69BF"/>
    <w:rsid w:val="34D57167"/>
    <w:rsid w:val="35547C67"/>
    <w:rsid w:val="35F44504"/>
    <w:rsid w:val="36411DB4"/>
    <w:rsid w:val="36D321E4"/>
    <w:rsid w:val="36E15E0D"/>
    <w:rsid w:val="37CC2B67"/>
    <w:rsid w:val="38400821"/>
    <w:rsid w:val="3A8F4312"/>
    <w:rsid w:val="3B6F335A"/>
    <w:rsid w:val="3D1B1311"/>
    <w:rsid w:val="3E904565"/>
    <w:rsid w:val="400728F0"/>
    <w:rsid w:val="40D74597"/>
    <w:rsid w:val="411614CB"/>
    <w:rsid w:val="4177629B"/>
    <w:rsid w:val="42737FED"/>
    <w:rsid w:val="43EE69C3"/>
    <w:rsid w:val="44AA3FD5"/>
    <w:rsid w:val="459E3C16"/>
    <w:rsid w:val="45C14B45"/>
    <w:rsid w:val="48E96E8D"/>
    <w:rsid w:val="4A0E0EA9"/>
    <w:rsid w:val="4B0506FB"/>
    <w:rsid w:val="4B8D3039"/>
    <w:rsid w:val="4BFC4347"/>
    <w:rsid w:val="4C917254"/>
    <w:rsid w:val="4CCC114D"/>
    <w:rsid w:val="517C546B"/>
    <w:rsid w:val="51D80029"/>
    <w:rsid w:val="51FA368D"/>
    <w:rsid w:val="522F2331"/>
    <w:rsid w:val="529334FC"/>
    <w:rsid w:val="530E19CF"/>
    <w:rsid w:val="546124CC"/>
    <w:rsid w:val="548E77CE"/>
    <w:rsid w:val="55FA758A"/>
    <w:rsid w:val="57930398"/>
    <w:rsid w:val="58234285"/>
    <w:rsid w:val="59EA0AF1"/>
    <w:rsid w:val="5A1A0218"/>
    <w:rsid w:val="5C1176B1"/>
    <w:rsid w:val="5C8241B5"/>
    <w:rsid w:val="5CE1369D"/>
    <w:rsid w:val="602A5D11"/>
    <w:rsid w:val="60490954"/>
    <w:rsid w:val="604D3851"/>
    <w:rsid w:val="62054A19"/>
    <w:rsid w:val="63EE7854"/>
    <w:rsid w:val="65204904"/>
    <w:rsid w:val="65235452"/>
    <w:rsid w:val="652E1D4D"/>
    <w:rsid w:val="652F630F"/>
    <w:rsid w:val="65A86554"/>
    <w:rsid w:val="66317954"/>
    <w:rsid w:val="66455EEA"/>
    <w:rsid w:val="6706686C"/>
    <w:rsid w:val="670B42C4"/>
    <w:rsid w:val="68E05C5C"/>
    <w:rsid w:val="69921113"/>
    <w:rsid w:val="69CE30C7"/>
    <w:rsid w:val="6C0E4B07"/>
    <w:rsid w:val="6C1D7D6E"/>
    <w:rsid w:val="6CF5159E"/>
    <w:rsid w:val="6EFA5482"/>
    <w:rsid w:val="6F305AFA"/>
    <w:rsid w:val="6F9C3969"/>
    <w:rsid w:val="70712660"/>
    <w:rsid w:val="720170D1"/>
    <w:rsid w:val="724D5730"/>
    <w:rsid w:val="72DD7F15"/>
    <w:rsid w:val="74021C92"/>
    <w:rsid w:val="75B841FA"/>
    <w:rsid w:val="76CD09D0"/>
    <w:rsid w:val="76F13D79"/>
    <w:rsid w:val="799A08EB"/>
    <w:rsid w:val="7AB87779"/>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2023-08-09T02:12:12Z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