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r>
        <w:drawing>
          <wp:inline distT="0" distB="0" distL="114300" distR="114300">
            <wp:extent cx="5557520" cy="7856220"/>
            <wp:effectExtent l="0" t="0" r="5080" b="1143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a:off x="0" y="0"/>
                      <a:ext cx="5557520" cy="785622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书名：边界内外的凝视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刘诗宇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作家出版社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2022-05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：9787521214741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本书共分四辑。前两辑从北京、上海、南京、武汉、广州、台北等“城市”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的视角，以及新人、旧人、少年、知识分子、女性、反面人物等“人物”的谱系统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观当代文学史，这种视角或谱系了严肃与通俗之分。后两辑从学术史、思潮史、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文学想象、作家作品等专题角度，寻找解释文学问题的钥匙，以及沟通文学内外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的路径。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总序 袁　鹰/1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序　远方之远 何向阳/5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辑：当代文学城市叙事研究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第二辑：当代文学人物形象谱系研究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第三辑：当代文学的经验与历史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第四辑：当代文学作家作品论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eastAsia" w:asciiTheme="minorHAnsi" w:hAnsiTheme="minorHAnsi" w:eastAsiaTheme="minorEastAsia" w:cstheme="minorBidi"/>
          <w:b w:val="0"/>
          <w:kern w:val="0"/>
          <w:sz w:val="24"/>
          <w:szCs w:val="24"/>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drawing>
          <wp:inline distT="0" distB="0" distL="114300" distR="114300">
            <wp:extent cx="5534025" cy="8260080"/>
            <wp:effectExtent l="0" t="0" r="9525" b="762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5534025" cy="826008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 xml:space="preserve">消失吧书本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作者：罗伯特桑塔格</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著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t>天津人民出版社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ISBN：9787201163642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197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59</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ascii="pingfangSC" w:hAnsi="pingfangSC" w:eastAsia="pingfangSC" w:cs="pingfangSC"/>
          <w:i w:val="0"/>
          <w:caps w:val="0"/>
          <w:color w:val="757575"/>
          <w:spacing w:val="0"/>
          <w:sz w:val="21"/>
          <w:szCs w:val="21"/>
          <w:shd w:val="clear" w:fill="FFFFFF"/>
        </w:rPr>
        <w:t> </w:t>
      </w:r>
      <w:r>
        <w:rPr>
          <w:rFonts w:hint="eastAsia" w:ascii="pingfangSC" w:hAnsi="pingfangSC" w:eastAsia="宋体" w:cs="pingfangSC"/>
          <w:i w:val="0"/>
          <w:caps w:val="0"/>
          <w:color w:val="757575"/>
          <w:spacing w:val="0"/>
          <w:sz w:val="21"/>
          <w:szCs w:val="21"/>
          <w:shd w:val="clear" w:fill="FFFFFF"/>
          <w:lang w:val="en-US" w:eastAsia="zh-CN"/>
        </w:rPr>
        <w:t xml:space="preserve">  </w:t>
      </w:r>
      <w:r>
        <w:rPr>
          <w:rFonts w:hint="default" w:asciiTheme="minorHAnsi" w:hAnsiTheme="minorHAnsi" w:eastAsiaTheme="minorEastAsia" w:cstheme="minorBidi"/>
          <w:b w:val="0"/>
          <w:kern w:val="0"/>
          <w:sz w:val="24"/>
          <w:szCs w:val="24"/>
          <w:lang w:val="en-US" w:eastAsia="zh-CN" w:bidi="ar"/>
        </w:rPr>
        <w:t>主人公罗伯和他的好友佑幼都受雇于超网巨擘公司旗下的扫描股份有限公司，该公司派出员工到处寻找市面上的所有纸质出版物，高价收购后，将书本上的所有内容用智慧视镜扫描进超网系统，公司声称会把扫描完毕的出版物放在网络上免费供人查阅。</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罗伯和佑幼在列车上遇到一个看书的老人，他们打算照惯例高价收购他的书。奇怪的是，这个老人不仅不要钱，还提出一个怪异的条件：免费送，但罗伯必须把书看完。这个老人是谁？他为何要这样做？与此同时，一场庞大的让人始料未及的阴谋正在悄然展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HAnsi" w:hAnsiTheme="minorHAnsi" w:eastAsiaTheme="minorEastAsia" w:cstheme="minorBidi"/>
          <w:b w:val="0"/>
          <w:kern w:val="0"/>
          <w:sz w:val="24"/>
          <w:szCs w:val="24"/>
          <w:lang w:val="en-US" w:eastAsia="zh-CN" w:bidi="ar"/>
        </w:rPr>
        <w:t>老　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通缉赏金</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问　号</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上课时间</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扫　描</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突发事件</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清　算</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紧急会议</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娜朵儿</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486400" cy="7604760"/>
            <wp:effectExtent l="0" t="0" r="0" b="1524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6"/>
                    <a:stretch>
                      <a:fillRect/>
                    </a:stretch>
                  </pic:blipFill>
                  <pic:spPr>
                    <a:xfrm>
                      <a:off x="0" y="0"/>
                      <a:ext cx="5486400" cy="760476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 xml:space="preserve">十四五我们如何开局 任仲文 编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作者：任仲文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xml:space="preserve">出版社：人民日报出版社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"https://book.jd.com/publish/%E4%B8%AD%E5%9B%BD%E5%8F%8B%E8%B0%8A%E5%87%BA%E7%89%88%E5%85%AC%E5%8F%B8_1.html" \o "中国友谊出版公司"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中国友谊出版公司</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w:t>
      </w:r>
      <w:r>
        <w:rPr>
          <w:rFonts w:hint="default" w:asciiTheme="minorHAnsi" w:hAnsiTheme="minorHAnsi" w:eastAsiaTheme="minorEastAsia" w:cstheme="minorBidi"/>
          <w:b w:val="0"/>
          <w:kern w:val="0"/>
          <w:sz w:val="24"/>
          <w:szCs w:val="24"/>
          <w:lang w:val="en-US" w:eastAsia="zh-CN" w:bidi="ar"/>
        </w:rPr>
        <w:t>SBN：9787511572288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48</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2021年是家历具有里程碑意义的一年。我们隆重庆祝中党成立，实现个百年奋斗目标，开启向第二个百年奋斗目军新征程。2021年也是“十四五”开局之年，开局之年凡，傲人答卷来之不易。我国为何能实现良好开局？为解答这一问题，人民社版《“十四五”，我们如何开局》一书，收录人民日报刊载的“'十四五'，我们这样开局起步”专栏文章50余篇，记述2021年以来国家建设与民生保障取得的新成绩、展现的新面貌，以激励广员干部乘势而上，接续奋斗，干事业，干出一片新天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前言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“十四五”实现良好开局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聚力“两区”建设 高起点向前 ／ 001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高质量高标准建设全面提速 ／ 004</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重大项目建设高标准高质量 ／ 007</w:t>
      </w:r>
      <w:r>
        <w:rPr>
          <w:rFonts w:hint="default" w:ascii="pingfangSC" w:hAnsi="pingfangSC" w:eastAsia="pingfangSC" w:cs="pingfangSC"/>
          <w:i w:val="0"/>
          <w:caps w:val="0"/>
          <w:color w:val="757575"/>
          <w:spacing w:val="0"/>
          <w:sz w:val="21"/>
          <w:szCs w:val="21"/>
          <w:shd w:val="clear" w:fill="FFFFFF"/>
        </w:rPr>
        <w:br w:type="textWrapping"/>
      </w:r>
      <w:r>
        <w:rPr>
          <w:rFonts w:hint="default" w:asciiTheme="minorHAnsi" w:hAnsiTheme="minorHAnsi" w:eastAsiaTheme="minorEastAsia" w:cstheme="minorBidi"/>
          <w:b w:val="0"/>
          <w:kern w:val="0"/>
          <w:sz w:val="24"/>
          <w:szCs w:val="24"/>
          <w:lang w:val="en-US" w:eastAsia="zh-CN" w:bidi="ar"/>
        </w:rPr>
        <w:t>外贸，稳中提质开门红 ／ 011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吉林奋力书写全面振兴振兴答卷 ／ 016</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共下一盘棋 迈向高质量 ／ 020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820660"/>
            <wp:effectExtent l="0" t="0" r="4445" b="889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7"/>
                    <a:stretch>
                      <a:fillRect/>
                    </a:stretch>
                  </pic:blipFill>
                  <pic:spPr>
                    <a:xfrm>
                      <a:off x="0" y="0"/>
                      <a:ext cx="5272405" cy="782066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1" w:name="_GoBack"/>
      <w:bookmarkEnd w:id="1"/>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ascii="Tahoma" w:hAnsi="Tahoma" w:eastAsia="Tahoma" w:cs="Tahoma"/>
          <w:i w:val="0"/>
          <w:caps w:val="0"/>
          <w:color w:val="666666"/>
          <w:spacing w:val="0"/>
          <w:sz w:val="21"/>
          <w:szCs w:val="21"/>
        </w:rPr>
      </w:pPr>
      <w:r>
        <w:rPr>
          <w:rFonts w:hint="default" w:asciiTheme="minorHAnsi" w:hAnsiTheme="minorHAnsi" w:eastAsiaTheme="minorEastAsia" w:cstheme="minorBidi"/>
          <w:b w:val="0"/>
          <w:kern w:val="0"/>
          <w:sz w:val="24"/>
          <w:szCs w:val="24"/>
          <w:lang w:val="en-US" w:eastAsia="zh-CN" w:bidi="ar"/>
        </w:rPr>
        <w:t>书名：</w:t>
      </w:r>
      <w:r>
        <w:rPr>
          <w:rFonts w:hint="default" w:ascii="Tahoma" w:hAnsi="Tahoma" w:eastAsia="Tahoma" w:cs="Tahoma"/>
          <w:i w:val="0"/>
          <w:caps w:val="0"/>
          <w:color w:val="666666"/>
          <w:spacing w:val="0"/>
          <w:sz w:val="24"/>
          <w:szCs w:val="24"/>
          <w:bdr w:val="none" w:color="auto" w:sz="0" w:space="0"/>
          <w:shd w:val="clear" w:fill="FFFFFF"/>
        </w:rPr>
        <w:t xml:space="preserve">5G的世界:智慧教育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作者：杨宁 赖剑煌主编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出版社：广东科技出版社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w:t>
      </w:r>
      <w:r>
        <w:rPr>
          <w:rFonts w:hint="eastAsia" w:cstheme="minorBidi"/>
          <w:b w:val="0"/>
          <w:kern w:val="0"/>
          <w:sz w:val="24"/>
          <w:szCs w:val="24"/>
          <w:lang w:val="en-US" w:eastAsia="zh-CN" w:bidi="ar"/>
        </w:rPr>
        <w:t>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ISBN：9787535978035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152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29.80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是“5G的世界”系列丛书第二辑的一个分册，共五部分，系统阐述了教育的内涵和外延，并从人类文明发展历程的角度，对采集狩猎社会、农业社会、工业社会和信息社会的教育进行简要梳理；概括了5G技术的概念、特点和发展史；重点介绍5G技术在教育场景中的具体应用，以及5G技术如何为现代教育赋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firstLine="480" w:firstLineChars="200"/>
        <w:rPr>
          <w:rFonts w:hint="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第一</w:t>
      </w:r>
      <w:r>
        <w:rPr>
          <w:rFonts w:hint="eastAsia" w:asciiTheme="minorHAnsi" w:hAnsiTheme="minorHAnsi" w:eastAsiaTheme="minorEastAsia" w:cstheme="minorBidi"/>
          <w:b w:val="0"/>
          <w:kern w:val="0"/>
          <w:sz w:val="24"/>
          <w:szCs w:val="24"/>
          <w:lang w:val="en-US" w:eastAsia="zh-CN" w:bidi="ar"/>
        </w:rPr>
        <w:t>章 教育的过去、现在与未来001</w:t>
      </w:r>
      <w:r>
        <w:rPr>
          <w:rFonts w:hint="eastAsia" w:asciiTheme="minorHAnsi" w:hAnsiTheme="minorHAnsi" w:eastAsiaTheme="minorEastAsia" w:cstheme="minorBidi"/>
          <w:b w:val="0"/>
          <w:kern w:val="0"/>
          <w:sz w:val="24"/>
          <w:szCs w:val="24"/>
          <w:lang w:val="en-US" w:eastAsia="zh-CN" w:bidi="ar"/>
        </w:rPr>
        <w:t> </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 xml:space="preserve">第二章 </w:t>
      </w:r>
      <w:r>
        <w:rPr>
          <w:rFonts w:hint="eastAsia" w:asciiTheme="minorHAnsi" w:hAnsiTheme="minorHAnsi" w:eastAsiaTheme="minorEastAsia" w:cstheme="minorBidi"/>
          <w:b w:val="0"/>
          <w:kern w:val="0"/>
          <w:sz w:val="24"/>
          <w:szCs w:val="24"/>
          <w:lang w:val="en-US" w:eastAsia="zh-CN" w:bidi="ar"/>
        </w:rPr>
        <w:t>5G赋能智慧教育031</w:t>
      </w:r>
      <w:r>
        <w:rPr>
          <w:rFonts w:hint="eastAsia" w:asciiTheme="minorHAnsi" w:hAnsiTheme="minorHAnsi" w:eastAsiaTheme="minorEastAsia" w:cstheme="minorBidi"/>
          <w:b w:val="0"/>
          <w:kern w:val="0"/>
          <w:sz w:val="24"/>
          <w:szCs w:val="24"/>
          <w:lang w:val="en-US" w:eastAsia="zh-CN" w:bidi="ar"/>
        </w:rPr>
        <w:t> </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第三章 5G创新智慧教学新形态057</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第四章 5G智慧教育的典型应用085</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第五章 智慧教育的思考与展望117</w:t>
      </w:r>
      <w:r>
        <w:rPr>
          <w:rFonts w:hint="eastAsia"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390765"/>
            <wp:effectExtent l="0" t="0" r="4445" b="63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8"/>
                    <a:stretch>
                      <a:fillRect/>
                    </a:stretch>
                  </pic:blipFill>
                  <pic:spPr>
                    <a:xfrm>
                      <a:off x="0" y="0"/>
                      <a:ext cx="5272405" cy="739076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盛宴</w:t>
      </w:r>
      <w:r>
        <w:rPr>
          <w:rFonts w:hint="eastAsia" w:asciiTheme="minorHAnsi" w:hAnsiTheme="minorHAnsi" w:eastAsiaTheme="minorEastAsia" w:cstheme="minorBidi"/>
          <w:b w:val="0"/>
          <w:kern w:val="0"/>
          <w:sz w:val="24"/>
          <w:szCs w:val="24"/>
          <w:lang w:val="en-US" w:eastAsia="zh-CN" w:bidi="ar"/>
        </w:rPr>
        <w:t xml:space="preserve"> </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"https://book.jd.com/writer/%E7%A8%8B%E9%9D%92_1.html"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程青</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出版社： </w:t>
      </w:r>
      <w:r>
        <w:rPr>
          <w:rFonts w:hint="default" w:asciiTheme="minorHAnsi" w:hAnsiTheme="minorHAnsi" w:eastAsiaTheme="minorEastAsia" w:cstheme="minorBidi"/>
          <w:b w:val="0"/>
          <w:kern w:val="0"/>
          <w:sz w:val="24"/>
          <w:szCs w:val="24"/>
          <w:lang w:val="en-US" w:eastAsia="zh-CN" w:bidi="ar"/>
        </w:rPr>
        <w:t>人民文学出版社</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出版时间：2022-05</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定价：45</w:t>
      </w:r>
      <w:r>
        <w:rPr>
          <w:rFonts w:hint="eastAsia" w:asciiTheme="minorHAnsi" w:hAnsiTheme="minorHAnsi" w:eastAsiaTheme="minorEastAsia" w:cstheme="minorBidi"/>
          <w:b w:val="0"/>
          <w:kern w:val="0"/>
          <w:sz w:val="24"/>
          <w:szCs w:val="24"/>
          <w:lang w:val="en-US" w:eastAsia="zh-CN" w:bidi="ar"/>
        </w:rPr>
        <w:t>.00</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9787020167388</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页码：288</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ascii="pingfangSC" w:hAnsi="pingfangSC" w:eastAsia="pingfangSC" w:cs="pingfangSC"/>
          <w:i w:val="0"/>
          <w:caps w:val="0"/>
          <w:color w:val="666666"/>
          <w:spacing w:val="0"/>
          <w:sz w:val="18"/>
          <w:szCs w:val="18"/>
          <w:shd w:val="clear" w:fill="FFFFFF"/>
        </w:rPr>
        <w:t> </w:t>
      </w:r>
      <w:r>
        <w:rPr>
          <w:rFonts w:hint="default" w:asciiTheme="minorHAnsi" w:hAnsiTheme="minorHAnsi" w:eastAsiaTheme="minorEastAsia" w:cstheme="minorBidi"/>
          <w:b w:val="0"/>
          <w:kern w:val="0"/>
          <w:sz w:val="24"/>
          <w:szCs w:val="24"/>
          <w:lang w:val="en-US" w:eastAsia="zh-CN" w:bidi="ar"/>
        </w:rPr>
        <w:t> </w:t>
      </w:r>
      <w:r>
        <w:rPr>
          <w:rFonts w:hint="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以高档社区沁芳园为舞台，《盛宴》辐射了当代中产家庭群落的鲜丽人生。作家、教授、医生、金融与互联网高管、商人等各界精英渐次出场，即便全职太太，都是名校海归。八对夫妻，在欢宴中坦陈着各自的爱情婚姻故事，在看似不经意的对话里编织出彼此生命的经纬，谈笑风生与觥筹交错间丰盛了城市的声音与颜色。然而，盛宴易散，良会难逢。杯子碰在一起，回响的也许都是梦碎。当众人眼中的家庭出现罅隙，热闹背后浮起失序，帷幕落下后的生活又该何去何从？亲密关系的逸出与博弈，藏着他们的情感纠葛、心理隐秘甚至精神之惑。</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楔子</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第一章：婉容的砒霜</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第二章：金璧辉的城堡</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第三章：李香兰的情人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第四章：吉冈安直的谋杀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9"/>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9"/>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57770"/>
            <wp:effectExtent l="0" t="0" r="4445" b="508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0"/>
                    <a:stretch>
                      <a:fillRect/>
                    </a:stretch>
                  </pic:blipFill>
                  <pic:spPr>
                    <a:xfrm>
                      <a:off x="0" y="0"/>
                      <a:ext cx="5272405" cy="755777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书名:第三次沉思:我们仍不了解的宇宙</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69</w:t>
      </w:r>
      <w:r>
        <w:rPr>
          <w:rFonts w:hint="default" w:asciiTheme="minorHAnsi" w:hAnsiTheme="minorHAnsi" w:eastAsiaTheme="minorEastAsia" w:cstheme="minorBidi"/>
          <w:b w:val="0"/>
          <w:kern w:val="0"/>
          <w:sz w:val="24"/>
          <w:szCs w:val="24"/>
          <w:lang w:val="en-US" w:eastAsia="zh-CN" w:bidi="ar"/>
        </w:rPr>
        <w:t>元</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作者:[美]斯蒂芬·温伯格著</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出版社：中信出版集团股份有限公司</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出版日期：2022-0</w:t>
      </w:r>
      <w:r>
        <w:rPr>
          <w:rFonts w:hint="eastAsia" w:asciiTheme="minorHAnsi" w:hAnsiTheme="minorHAnsi" w:eastAsiaTheme="minorEastAsia" w:cstheme="minorBidi"/>
          <w:b w:val="0"/>
          <w:kern w:val="0"/>
          <w:sz w:val="24"/>
          <w:szCs w:val="24"/>
          <w:lang w:val="en-US" w:eastAsia="zh-CN" w:bidi="ar"/>
        </w:rPr>
        <w:t>6</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 9787521734157</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320</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w:t>
      </w:r>
      <w:r>
        <w:rPr>
          <w:rFonts w:hint="default" w:asciiTheme="minorHAnsi" w:hAnsiTheme="minorHAnsi" w:eastAsiaTheme="minorEastAsia" w:cstheme="minorBidi"/>
          <w:b w:val="0"/>
          <w:kern w:val="0"/>
          <w:sz w:val="24"/>
          <w:szCs w:val="24"/>
          <w:lang w:val="en-US" w:eastAsia="zh-CN" w:bidi="ar"/>
        </w:rPr>
        <w:t>装</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本书是诺贝尔物理学奖、美国国家科学奖章得主斯蒂芬·温伯格关于科学史、物理和宇宙、社会观评、个人遐思的文集，收录了温伯格发表在报刊上的文章、演讲以及部分未发表文章。</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从宇宙、天文学、量子力学到今天科学的局限，温伯格热忱而清晰地向普通读者展示了一个理性的科学家看待 的方式。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前言</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I. 科学史</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II. 物理和宇宙</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III. 社会观评</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IV. 个人遐思</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参考文献 273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070D8D"/>
    <w:rsid w:val="01D764A4"/>
    <w:rsid w:val="026B52A8"/>
    <w:rsid w:val="0404395C"/>
    <w:rsid w:val="04F226DF"/>
    <w:rsid w:val="05FE3655"/>
    <w:rsid w:val="06005D4F"/>
    <w:rsid w:val="073E4821"/>
    <w:rsid w:val="079C5FB9"/>
    <w:rsid w:val="07E95068"/>
    <w:rsid w:val="07F738EF"/>
    <w:rsid w:val="08C7736C"/>
    <w:rsid w:val="09080709"/>
    <w:rsid w:val="0D081194"/>
    <w:rsid w:val="0FBF0FEB"/>
    <w:rsid w:val="110C73D5"/>
    <w:rsid w:val="12BF44A8"/>
    <w:rsid w:val="148E744A"/>
    <w:rsid w:val="14E203B7"/>
    <w:rsid w:val="17DF2ACF"/>
    <w:rsid w:val="186E2F1A"/>
    <w:rsid w:val="186E53E6"/>
    <w:rsid w:val="18C03F3C"/>
    <w:rsid w:val="18EC0EC8"/>
    <w:rsid w:val="1A745F99"/>
    <w:rsid w:val="1AA21A31"/>
    <w:rsid w:val="1BCE4CF0"/>
    <w:rsid w:val="1C150605"/>
    <w:rsid w:val="1C5342F5"/>
    <w:rsid w:val="1CB302CB"/>
    <w:rsid w:val="1CD07500"/>
    <w:rsid w:val="1D8A7C54"/>
    <w:rsid w:val="1DE354B7"/>
    <w:rsid w:val="1DF63A5D"/>
    <w:rsid w:val="24A70C5B"/>
    <w:rsid w:val="252808FD"/>
    <w:rsid w:val="26B8703E"/>
    <w:rsid w:val="26D836ED"/>
    <w:rsid w:val="272B7EDF"/>
    <w:rsid w:val="28EB1926"/>
    <w:rsid w:val="2980141E"/>
    <w:rsid w:val="29872D19"/>
    <w:rsid w:val="29A052DE"/>
    <w:rsid w:val="29D04FE7"/>
    <w:rsid w:val="2A0738C1"/>
    <w:rsid w:val="2B1E39A5"/>
    <w:rsid w:val="2B61058A"/>
    <w:rsid w:val="2D8F4E20"/>
    <w:rsid w:val="2D9B67DD"/>
    <w:rsid w:val="2DAF120C"/>
    <w:rsid w:val="2EE17643"/>
    <w:rsid w:val="2F2E599C"/>
    <w:rsid w:val="3181111E"/>
    <w:rsid w:val="31C54140"/>
    <w:rsid w:val="327728A3"/>
    <w:rsid w:val="32A66FC4"/>
    <w:rsid w:val="32D86BAA"/>
    <w:rsid w:val="32EB096F"/>
    <w:rsid w:val="33AE69BF"/>
    <w:rsid w:val="34D57167"/>
    <w:rsid w:val="35547C67"/>
    <w:rsid w:val="35F44504"/>
    <w:rsid w:val="36411DB4"/>
    <w:rsid w:val="36D321E4"/>
    <w:rsid w:val="36E15E0D"/>
    <w:rsid w:val="37CC2B67"/>
    <w:rsid w:val="38400821"/>
    <w:rsid w:val="3A8F4312"/>
    <w:rsid w:val="3B6F335A"/>
    <w:rsid w:val="3BB82598"/>
    <w:rsid w:val="3D1B1311"/>
    <w:rsid w:val="3E904565"/>
    <w:rsid w:val="400728F0"/>
    <w:rsid w:val="40D74597"/>
    <w:rsid w:val="410148B6"/>
    <w:rsid w:val="411614CB"/>
    <w:rsid w:val="4177629B"/>
    <w:rsid w:val="42737FED"/>
    <w:rsid w:val="43EE69C3"/>
    <w:rsid w:val="44AA3FD5"/>
    <w:rsid w:val="459E3C16"/>
    <w:rsid w:val="45C14B45"/>
    <w:rsid w:val="48E96E8D"/>
    <w:rsid w:val="49CF1BFA"/>
    <w:rsid w:val="4A0E0EA9"/>
    <w:rsid w:val="4B0506FB"/>
    <w:rsid w:val="4B8D3039"/>
    <w:rsid w:val="4BFC4347"/>
    <w:rsid w:val="4C917254"/>
    <w:rsid w:val="4CCC114D"/>
    <w:rsid w:val="4DFA4C20"/>
    <w:rsid w:val="4E3D3FA8"/>
    <w:rsid w:val="513B0612"/>
    <w:rsid w:val="517C546B"/>
    <w:rsid w:val="51D80029"/>
    <w:rsid w:val="51FA368D"/>
    <w:rsid w:val="522F2331"/>
    <w:rsid w:val="529334FC"/>
    <w:rsid w:val="530E19CF"/>
    <w:rsid w:val="546124CC"/>
    <w:rsid w:val="548E77CE"/>
    <w:rsid w:val="55981297"/>
    <w:rsid w:val="55FA758A"/>
    <w:rsid w:val="57930398"/>
    <w:rsid w:val="58234285"/>
    <w:rsid w:val="59DB2979"/>
    <w:rsid w:val="59EA0AF1"/>
    <w:rsid w:val="5A1A0218"/>
    <w:rsid w:val="5C1176B1"/>
    <w:rsid w:val="5C8241B5"/>
    <w:rsid w:val="5CE1369D"/>
    <w:rsid w:val="602A5D11"/>
    <w:rsid w:val="60490954"/>
    <w:rsid w:val="604D3851"/>
    <w:rsid w:val="62054A19"/>
    <w:rsid w:val="63EE7854"/>
    <w:rsid w:val="63FD4980"/>
    <w:rsid w:val="65204904"/>
    <w:rsid w:val="65235452"/>
    <w:rsid w:val="652E1D4D"/>
    <w:rsid w:val="652F630F"/>
    <w:rsid w:val="65A86554"/>
    <w:rsid w:val="66317954"/>
    <w:rsid w:val="66455EEA"/>
    <w:rsid w:val="6706686C"/>
    <w:rsid w:val="670B42C4"/>
    <w:rsid w:val="68E05C5C"/>
    <w:rsid w:val="69921113"/>
    <w:rsid w:val="69CE30C7"/>
    <w:rsid w:val="6B4B458E"/>
    <w:rsid w:val="6B7F2D61"/>
    <w:rsid w:val="6BE67506"/>
    <w:rsid w:val="6C0E4B07"/>
    <w:rsid w:val="6C1D7D6E"/>
    <w:rsid w:val="6CF5159E"/>
    <w:rsid w:val="6EFA5482"/>
    <w:rsid w:val="6F305AFA"/>
    <w:rsid w:val="6F9C3969"/>
    <w:rsid w:val="70712660"/>
    <w:rsid w:val="720170D1"/>
    <w:rsid w:val="724D5730"/>
    <w:rsid w:val="72DD7F15"/>
    <w:rsid w:val="72E6748A"/>
    <w:rsid w:val="74021C92"/>
    <w:rsid w:val="75B841FA"/>
    <w:rsid w:val="76CD09D0"/>
    <w:rsid w:val="76F13D79"/>
    <w:rsid w:val="799A08EB"/>
    <w:rsid w:val="7AB87779"/>
    <w:rsid w:val="7B4D48C8"/>
    <w:rsid w:val="7C077967"/>
    <w:rsid w:val="7C6D75E5"/>
    <w:rsid w:val="7CC96DE6"/>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NUL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2023-11-24T02:31:08Z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