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lang w:eastAsia="zh-CN"/>
        </w:rPr>
      </w:pPr>
      <w:r>
        <w:drawing>
          <wp:inline distT="0" distB="0" distL="114300" distR="114300">
            <wp:extent cx="5272405" cy="8355330"/>
            <wp:effectExtent l="0" t="0" r="4445"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
                    <a:stretch>
                      <a:fillRect/>
                    </a:stretch>
                  </pic:blipFill>
                  <pic:spPr>
                    <a:xfrm>
                      <a:off x="0" y="0"/>
                      <a:ext cx="5272405" cy="835533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ascii="宋体" w:hAnsi="宋体" w:eastAsia="宋体" w:cs="宋体"/>
          <w:sz w:val="24"/>
          <w:szCs w:val="24"/>
        </w:rPr>
      </w:pPr>
      <w:bookmarkStart w:id="0" w:name="Pic"/>
      <w:bookmarkEnd w:id="0"/>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HAnsi" w:hAnsiTheme="minorHAnsi" w:eastAsiaTheme="minorEastAsia" w:cstheme="minorBidi"/>
          <w:b w:val="0"/>
          <w:kern w:val="0"/>
          <w:sz w:val="24"/>
          <w:szCs w:val="24"/>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HAnsi" w:hAnsiTheme="minorHAnsi" w:eastAsiaTheme="minorEastAsia" w:cstheme="minorBidi"/>
          <w:b w:val="0"/>
          <w:kern w:val="0"/>
          <w:sz w:val="24"/>
          <w:szCs w:val="24"/>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default" w:asciiTheme="minorHAnsi" w:hAnsiTheme="minorHAnsi" w:eastAsiaTheme="minorEastAsia" w:cstheme="minorBidi"/>
          <w:b w:val="0"/>
          <w:kern w:val="0"/>
          <w:sz w:val="24"/>
          <w:szCs w:val="24"/>
          <w:lang w:val="en-US" w:eastAsia="zh-CN" w:bidi="ar"/>
        </w:rPr>
        <w:t>画梅技法 </w:t>
      </w:r>
      <w:r>
        <w:rPr>
          <w:rFonts w:hint="eastAsia" w:asciiTheme="minorHAnsi" w:hAnsiTheme="minorHAnsi" w:eastAsiaTheme="minorEastAsia" w:cstheme="minorBidi"/>
          <w:b w:val="0"/>
          <w:kern w:val="0"/>
          <w:sz w:val="24"/>
          <w:szCs w:val="24"/>
          <w:lang w:val="en-US" w:eastAsia="zh-CN" w:bidi="ar"/>
        </w:rPr>
        <w:t xml:space="preserv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480" w:right="0" w:hanging="480" w:hangingChars="20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作者：杨宇 编 孙开林 绘</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480" w:right="0" w:hanging="480" w:hangingChars="20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出版社： 北京工艺美术出版社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w:t>
      </w:r>
      <w:r>
        <w:rPr>
          <w:rFonts w:hint="eastAsia" w:asciiTheme="minorEastAsia" w:hAnsiTheme="minorEastAsia" w:cstheme="minorEastAsia"/>
          <w:b w:val="0"/>
          <w:i w:val="0"/>
          <w:caps w:val="0"/>
          <w:color w:val="auto"/>
          <w:spacing w:val="0"/>
          <w:kern w:val="0"/>
          <w:sz w:val="24"/>
          <w:szCs w:val="24"/>
          <w:shd w:val="clear" w:fill="FFFFFF"/>
          <w:lang w:val="en-US" w:eastAsia="zh-CN" w:bidi="ar"/>
        </w:rPr>
        <w:t>3</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w:t>
      </w:r>
      <w:r>
        <w:rPr>
          <w:rFonts w:hint="eastAsia" w:asciiTheme="minorEastAsia" w:hAnsiTheme="minorEastAsia" w:cstheme="minorEastAsia"/>
          <w:b w:val="0"/>
          <w:i w:val="0"/>
          <w:caps w:val="0"/>
          <w:color w:val="auto"/>
          <w:spacing w:val="0"/>
          <w:kern w:val="0"/>
          <w:sz w:val="24"/>
          <w:szCs w:val="24"/>
          <w:shd w:val="clear" w:fill="FFFFFF"/>
          <w:lang w:val="en-US" w:eastAsia="zh-CN" w:bidi="ar"/>
        </w:rPr>
        <w:t>1</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HAnsi" w:hAnsiTheme="minorHAnsi" w:eastAsiaTheme="minorEastAsia" w:cstheme="minorBidi"/>
          <w:b w:val="0"/>
          <w:kern w:val="0"/>
          <w:sz w:val="24"/>
          <w:szCs w:val="24"/>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default" w:asciiTheme="minorHAnsi" w:hAnsiTheme="minorHAnsi" w:eastAsiaTheme="minorEastAsia" w:cstheme="minorBidi"/>
          <w:b w:val="0"/>
          <w:kern w:val="0"/>
          <w:sz w:val="24"/>
          <w:szCs w:val="24"/>
          <w:lang w:val="en-US" w:eastAsia="zh-CN" w:bidi="ar"/>
        </w:rPr>
        <w:t>9787514020687</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cstheme="minorEastAsia"/>
          <w:b w:val="0"/>
          <w:i w:val="0"/>
          <w:caps w:val="0"/>
          <w:color w:val="auto"/>
          <w:spacing w:val="0"/>
          <w:kern w:val="0"/>
          <w:sz w:val="24"/>
          <w:szCs w:val="24"/>
          <w:shd w:val="clear" w:fill="FFFFFF"/>
          <w:lang w:val="en-US" w:eastAsia="zh-CN" w:bidi="ar"/>
        </w:rPr>
        <w:t>176</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cstheme="minorEastAsia"/>
          <w:b w:val="0"/>
          <w:i w:val="0"/>
          <w:caps w:val="0"/>
          <w:color w:val="auto"/>
          <w:spacing w:val="0"/>
          <w:kern w:val="0"/>
          <w:sz w:val="24"/>
          <w:szCs w:val="24"/>
          <w:shd w:val="clear" w:fill="FFFFFF"/>
          <w:lang w:val="en-US" w:eastAsia="zh-CN" w:bidi="ar"/>
        </w:rPr>
        <w:t>128</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479" w:leftChars="228" w:right="0" w:firstLine="0" w:firstLineChars="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本套《当代名家绘画技法视频课》系列丛书，教学课程内容的编写，均由多</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年从事美术教育专业的老师，根据多年积累的教学经验，依据绘画授课老师的现场视频，结合古典绘画画谱进行编写，书中内容遵循由易到难、由简入繁、由浅入深、理法互动的原则，以言简意赅的文字明晰法理，指点要义。书中对绘画基础知识、绘画技法、画论的引用与讲解全面透彻、深入浅出，系统而有序，有助于从整体上了解绘画，并逐步掌握绘画技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  录</w:t>
      </w: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480" w:right="0" w:hanging="480" w:hangingChars="20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第一章 笔墨基础知识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480" w:right="0" w:hanging="480" w:hangingChars="20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一 绘前准备</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480" w:right="0" w:hanging="480" w:hangingChars="20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二 执笔</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480" w:right="0" w:hanging="480" w:hangingChars="20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三 用笔</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480" w:right="0" w:hanging="480" w:hangingChars="20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四 笔墨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480" w:right="0" w:hanging="480" w:hangingChars="20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五 用色</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480" w:right="0" w:hanging="480" w:hangingChars="20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第二章 画梅技法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480" w:right="0" w:hanging="480" w:hangingChars="20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一 墨梅的画法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480" w:right="0" w:hanging="480" w:hangingChars="20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(一)墨梅各部位名称</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480" w:right="0" w:hanging="480" w:hangingChars="20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(二)画枝法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480" w:right="0" w:hanging="480" w:hangingChars="20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(三)画干法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480" w:right="0" w:hanging="480" w:hangingChars="20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(四)画花法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480" w:right="0" w:hanging="480" w:hangingChars="20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(五)干、枝、花组合画法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480" w:right="0" w:hanging="480" w:hangingChars="200"/>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二 彩墨梅画法</w:t>
      </w: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7891145"/>
            <wp:effectExtent l="0" t="0" r="4445" b="1460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5"/>
                    <a:stretch>
                      <a:fillRect/>
                    </a:stretch>
                  </pic:blipFill>
                  <pic:spPr>
                    <a:xfrm>
                      <a:off x="0" y="0"/>
                      <a:ext cx="5272405" cy="7891145"/>
                    </a:xfrm>
                    <a:prstGeom prst="rect">
                      <a:avLst/>
                    </a:prstGeom>
                    <a:noFill/>
                    <a:ln w="9525">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HAnsi" w:hAnsiTheme="minorHAnsi" w:eastAsiaTheme="minorEastAsia" w:cstheme="minorBidi"/>
          <w:b w:val="0"/>
          <w:kern w:val="0"/>
          <w:sz w:val="24"/>
          <w:szCs w:val="24"/>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ascii="pingfangSC" w:hAnsi="pingfangSC" w:eastAsia="pingfangSC" w:cs="pingfangSC"/>
          <w:i w:val="0"/>
          <w:caps w:val="0"/>
          <w:color w:val="000000"/>
          <w:spacing w:val="0"/>
          <w:sz w:val="24"/>
          <w:szCs w:val="24"/>
          <w:shd w:val="clear" w:fill="FFFFFF"/>
        </w:rPr>
        <w:t>白描花卉技法</w:t>
      </w:r>
      <w:r>
        <w:rPr>
          <w:rFonts w:hint="default" w:asciiTheme="minorHAnsi" w:hAnsiTheme="minorHAnsi" w:eastAsiaTheme="minorEastAsia" w:cstheme="minorBidi"/>
          <w:b w:val="0"/>
          <w:kern w:val="0"/>
          <w:sz w:val="24"/>
          <w:szCs w:val="24"/>
          <w:lang w:val="en-US" w:eastAsia="zh-CN" w:bidi="ar"/>
        </w:rPr>
        <w:t> </w:t>
      </w:r>
      <w:r>
        <w:rPr>
          <w:rFonts w:hint="eastAsia" w:asciiTheme="minorHAnsi" w:hAnsiTheme="minorHAnsi" w:eastAsiaTheme="minorEastAsia" w:cstheme="minorBidi"/>
          <w:b w:val="0"/>
          <w:kern w:val="0"/>
          <w:sz w:val="24"/>
          <w:szCs w:val="24"/>
          <w:lang w:val="en-US" w:eastAsia="zh-CN" w:bidi="ar"/>
        </w:rPr>
        <w:t xml:space="preserv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480" w:right="0" w:hanging="480" w:hangingChars="20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作者：</w:t>
      </w:r>
      <w:r>
        <w:rPr>
          <w:rFonts w:ascii="pingfangSC" w:hAnsi="pingfangSC" w:eastAsia="pingfangSC" w:cs="pingfangSC"/>
          <w:i w:val="0"/>
          <w:caps w:val="0"/>
          <w:color w:val="000000"/>
          <w:spacing w:val="0"/>
          <w:sz w:val="24"/>
          <w:szCs w:val="24"/>
          <w:shd w:val="clear" w:fill="FFFFFF"/>
        </w:rPr>
        <w:t>段文君绘著</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480" w:right="0" w:hanging="480" w:hangingChars="20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出版社： 北京工艺美术出版社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w:t>
      </w:r>
      <w:r>
        <w:rPr>
          <w:rFonts w:hint="eastAsia" w:asciiTheme="minorEastAsia" w:hAnsiTheme="minorEastAsia" w:cstheme="minorEastAsia"/>
          <w:b w:val="0"/>
          <w:i w:val="0"/>
          <w:caps w:val="0"/>
          <w:color w:val="auto"/>
          <w:spacing w:val="0"/>
          <w:kern w:val="0"/>
          <w:sz w:val="24"/>
          <w:szCs w:val="24"/>
          <w:shd w:val="clear" w:fill="FFFFFF"/>
          <w:lang w:val="en-US" w:eastAsia="zh-CN" w:bidi="ar"/>
        </w:rPr>
        <w:t>3</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w:t>
      </w:r>
      <w:r>
        <w:rPr>
          <w:rFonts w:hint="eastAsia" w:asciiTheme="minorEastAsia" w:hAnsiTheme="minorEastAsia" w:cstheme="minorEastAsia"/>
          <w:b w:val="0"/>
          <w:i w:val="0"/>
          <w:caps w:val="0"/>
          <w:color w:val="auto"/>
          <w:spacing w:val="0"/>
          <w:kern w:val="0"/>
          <w:sz w:val="24"/>
          <w:szCs w:val="24"/>
          <w:shd w:val="clear" w:fill="FFFFFF"/>
          <w:lang w:val="en-US" w:eastAsia="zh-CN" w:bidi="ar"/>
        </w:rPr>
        <w:t>1</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9787514023916</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cstheme="minorEastAsia"/>
          <w:b w:val="0"/>
          <w:i w:val="0"/>
          <w:caps w:val="0"/>
          <w:color w:val="auto"/>
          <w:spacing w:val="0"/>
          <w:kern w:val="0"/>
          <w:sz w:val="24"/>
          <w:szCs w:val="24"/>
          <w:shd w:val="clear" w:fill="FFFFFF"/>
          <w:lang w:val="en-US" w:eastAsia="zh-CN" w:bidi="ar"/>
        </w:rPr>
        <w:t>176</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cstheme="minorEastAsia"/>
          <w:b w:val="0"/>
          <w:i w:val="0"/>
          <w:caps w:val="0"/>
          <w:color w:val="auto"/>
          <w:spacing w:val="0"/>
          <w:kern w:val="0"/>
          <w:sz w:val="24"/>
          <w:szCs w:val="24"/>
          <w:shd w:val="clear" w:fill="FFFFFF"/>
          <w:lang w:val="en-US" w:eastAsia="zh-CN" w:bidi="ar"/>
        </w:rPr>
        <w:t>128</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ascii="pingfangSC" w:hAnsi="pingfangSC" w:eastAsia="pingfangSC" w:cs="pingfangSC"/>
          <w:i w:val="0"/>
          <w:caps w:val="0"/>
          <w:color w:val="757575"/>
          <w:spacing w:val="0"/>
          <w:sz w:val="21"/>
          <w:szCs w:val="21"/>
          <w:shd w:val="clear" w:fill="FFFFFF"/>
        </w:rPr>
        <w:t> </w:t>
      </w:r>
      <w:r>
        <w:rPr>
          <w:rFonts w:hint="eastAsia" w:ascii="pingfangSC" w:hAnsi="pingfangSC" w:eastAsia="宋体" w:cs="pingfangSC"/>
          <w:i w:val="0"/>
          <w:caps w:val="0"/>
          <w:color w:val="757575"/>
          <w:spacing w:val="0"/>
          <w:sz w:val="21"/>
          <w:szCs w:val="21"/>
          <w:shd w:val="clear" w:fill="FFFFFF"/>
          <w:lang w:val="en-US" w:eastAsia="zh-CN"/>
        </w:rPr>
        <w:t xml:space="preserve">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本套《当代名家绘画技法课》系列丛书，教学课程内容的编写，均由多年从事美术教育专业的老师，根据多年积累的教学经验，依据绘画授课老师的现场，结合古典绘画画行编写，书中内容遵循由易到难、由简入繁、由浅入深、理法互动的原则，以言简意赅的文字明晰法理，指点要义。书中对绘画基础知识、绘画技的引用与讲解全面透彻、深入浅出，系统而有序，有助于从整体上了解绘画，并逐步掌握绘画技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第一</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章笔墨基础知识</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一绘前准备</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二执笔</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三用笔</w:t>
      </w:r>
      <w:r>
        <w:rPr>
          <w:rFonts w:hint="default" w:ascii="pingfangSC" w:hAnsi="pingfangSC" w:eastAsia="pingfangSC" w:cs="pingfangSC"/>
          <w:i w:val="0"/>
          <w:caps w:val="0"/>
          <w:color w:val="666666"/>
          <w:spacing w:val="0"/>
          <w:sz w:val="24"/>
          <w:szCs w:val="24"/>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四白描花卉的基本笔法</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(一)勾线</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(二)用墨</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第二章白描花卉技法</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一花卉结构各部位介绍</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r>
        <w:rPr>
          <w:rFonts w:ascii="宋体" w:hAnsi="宋体" w:eastAsia="宋体" w:cs="宋体"/>
          <w:sz w:val="24"/>
          <w:szCs w:val="24"/>
        </w:rPr>
        <w:drawing>
          <wp:inline distT="0" distB="0" distL="114300" distR="114300">
            <wp:extent cx="304800" cy="304800"/>
            <wp:effectExtent l="0" t="0" r="0" b="0"/>
            <wp:docPr id="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6"/>
                    <pic:cNvPicPr>
                      <a:picLocks noChangeAspect="1"/>
                    </pic:cNvPicPr>
                  </pic:nvPicPr>
                  <pic:blipFill>
                    <a:blip r:embed="rId6"/>
                    <a:stretch>
                      <a:fillRect/>
                    </a:stretch>
                  </pic:blipFill>
                  <pic:spPr>
                    <a:xfrm>
                      <a:off x="0" y="0"/>
                      <a:ext cx="304800" cy="304800"/>
                    </a:xfrm>
                    <a:prstGeom prst="rect">
                      <a:avLst/>
                    </a:prstGeom>
                    <a:noFill/>
                    <a:ln w="9525">
                      <a:noFill/>
                    </a:ln>
                  </pic:spPr>
                </pic:pic>
              </a:graphicData>
            </a:graphic>
          </wp:inline>
        </w:drawing>
      </w:r>
      <w:r>
        <w:drawing>
          <wp:inline distT="0" distB="0" distL="114300" distR="114300">
            <wp:extent cx="5272405" cy="7903845"/>
            <wp:effectExtent l="0" t="0" r="4445" b="190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7"/>
                    <a:stretch>
                      <a:fillRect/>
                    </a:stretch>
                  </pic:blipFill>
                  <pic:spPr>
                    <a:xfrm>
                      <a:off x="0" y="0"/>
                      <a:ext cx="5272405" cy="7903845"/>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书名：画兰技法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480" w:right="0" w:hanging="480" w:hanging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杨宇 编 孙开林 绘</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480" w:right="0" w:hanging="480" w:hanging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 北京工艺美术出版社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2023-01</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9787514020694</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176</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128</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本套《当代名家绘画技法课》系列丛书，教学课程内容的编写，均由多年从事美术教育专业的老师，根据多年积累的教学经验，依据绘画授课老师的现场，结合古典绘画画行编写，书中内容遵循由易到难、由简入繁、由浅入深、理法互动的原则，以言简意赅的文字明晰法理，指点要义。书中对绘画基础知识、绘画技的引用与讲解全面透彻、深入浅出，系统而有序，有助于从整体上了解绘画，并逐步掌握绘画技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240" w:right="0" w:hanging="240" w:hangingChars="1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第一章笔墨基础知识</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一绘前准备</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二执笔</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三用笔</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四笔墨</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五用色</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240" w:right="0" w:hanging="240" w:hangingChars="1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第二章画兰技法</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一水墨兰画法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7915275"/>
            <wp:effectExtent l="0" t="0" r="4445"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a:stretch>
                      <a:fillRect/>
                    </a:stretch>
                  </pic:blipFill>
                  <pic:spPr>
                    <a:xfrm>
                      <a:off x="0" y="0"/>
                      <a:ext cx="5272405" cy="7915275"/>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HAnsi" w:hAnsiTheme="minorHAnsi" w:eastAsiaTheme="minorEastAsia" w:cstheme="minorBidi"/>
          <w:b w:val="0"/>
          <w:kern w:val="0"/>
          <w:sz w:val="24"/>
          <w:szCs w:val="24"/>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世界美术名作二十讲</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傅雷著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吴轩出版社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2023-08</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：9787554621349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361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88.00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Chars="0" w:right="0" w:rightChars="0"/>
        <w:rPr>
          <w:rFonts w:hint="default" w:asciiTheme="minorHAnsi" w:hAnsiTheme="minorHAnsi" w:eastAsiaTheme="minorEastAsia" w:cstheme="minorBidi"/>
          <w:b w:val="0"/>
          <w:kern w:val="0"/>
          <w:sz w:val="24"/>
          <w:szCs w:val="24"/>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在这本《世界美术名作二十讲》中，傅雷先生围绕文艺复兴以来西方近二十位艺术大师及其名作展开讨论，波提切利的姿态、伦勃朗的光影、鲁本斯的色彩、委拉斯凯兹的肖像画，在其笔下形成了强烈、曼妙、妩媚、典、庄严等多种貌，并融文学、音乐、哲学、社会、时代于一体，深入浅出，引人入胜。艺是相通的，艺术也是流动的，美不仅会跨越边际，也能层层，浮于易于流逝的表面，也不给人徒增复杂的幽思，只在自然的状下显示出征服的权力与气度。美就在这里，它为人们带来了壮丽、欢愉与宴飨，而人们与艺术一起去愉悦、去通透、去畅怀的心，已是亘不变的共同感和耐人寻味的生命课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both"/>
        <w:rPr>
          <w:rFonts w:hint="eastAsia" w:asciiTheme="minorHAnsi" w:hAnsiTheme="minorHAnsi" w:eastAsiaTheme="minorEastAsia" w:cstheme="minorBidi"/>
          <w:b w:val="0"/>
          <w:kern w:val="0"/>
          <w:sz w:val="24"/>
          <w:szCs w:val="24"/>
          <w:lang w:val="en-US" w:eastAsia="zh-CN" w:bidi="ar"/>
        </w:rPr>
      </w:pP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Chars="0" w:right="0" w:rightChars="0" w:firstLine="480" w:firstLineChars="200"/>
        <w:rPr>
          <w:rFonts w:hint="eastAsia" w:cstheme="minorBidi"/>
          <w:b w:val="0"/>
          <w:kern w:val="0"/>
          <w:sz w:val="24"/>
          <w:szCs w:val="24"/>
          <w:lang w:val="en-US" w:eastAsia="zh-CN" w:bidi="ar"/>
        </w:rPr>
      </w:pPr>
    </w:p>
    <w:p>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right="0" w:rightChars="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001 乔托与阿西西的圣方济各 单纯而严肃的生命自白 </w:t>
      </w:r>
    </w:p>
    <w:p>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leftChars="0" w:right="0" w:rightChars="0" w:firstLine="0" w:firstLineChars="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015 多那太罗之雕塑 呼唤灵魂的生命合奏 </w:t>
      </w:r>
    </w:p>
    <w:p>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leftChars="0" w:right="0" w:rightChars="0" w:firstLine="0" w:firstLineChars="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029 波提切利之妩媚 妩媚且悲怆的心灵颤动 </w:t>
      </w:r>
    </w:p>
    <w:p>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leftChars="0" w:right="0" w:rightChars="0" w:firstLine="0" w:firstLineChars="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051 莱奥纳多·达·芬奇（上）</w:t>
      </w:r>
    </w:p>
    <w:p>
      <w:pPr>
        <w:pStyle w:val="5"/>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Chars="0" w:right="0" w:rightChars="0"/>
        <w:rPr>
          <w:rFonts w:hint="eastAsia" w:asciiTheme="minorHAnsi" w:hAnsiTheme="minorHAnsi" w:eastAsiaTheme="minorEastAsia" w:cstheme="minorBidi"/>
          <w:b w:val="0"/>
          <w:kern w:val="0"/>
          <w:sz w:val="24"/>
          <w:szCs w:val="24"/>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第五讲 067 莱奥纳多·达·芬奇（下）</w:t>
      </w:r>
      <w:r>
        <w:rPr>
          <w:rFonts w:hint="eastAsia" w:asciiTheme="minorHAnsi" w:hAnsiTheme="minorHAnsi" w:eastAsiaTheme="minorEastAsia" w:cstheme="minorBidi"/>
          <w:b w:val="0"/>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7641590"/>
            <wp:effectExtent l="0" t="0" r="4445" b="1651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9"/>
                    <a:stretch>
                      <a:fillRect/>
                    </a:stretch>
                  </pic:blipFill>
                  <pic:spPr>
                    <a:xfrm>
                      <a:off x="0" y="0"/>
                      <a:ext cx="5272405" cy="764159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HAnsi" w:hAnsiTheme="minorHAnsi" w:eastAsiaTheme="minorEastAsia" w:cstheme="minorBidi"/>
          <w:b w:val="0"/>
          <w:kern w:val="0"/>
          <w:sz w:val="24"/>
          <w:szCs w:val="24"/>
          <w:lang w:val="en-US" w:eastAsia="zh-CN" w:bidi="ar"/>
        </w:rPr>
      </w:pPr>
    </w:p>
    <w:p>
      <w:pPr>
        <w:pStyle w:val="5"/>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right="0" w:rightChars="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高效阅读：怎样成为一个读书高手</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p>
    <w:p>
      <w:pPr>
        <w:pStyle w:val="5"/>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right="0" w:rightChars="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刘志华</w:t>
      </w:r>
    </w:p>
    <w:p>
      <w:pPr>
        <w:pStyle w:val="5"/>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right="0" w:rightChars="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出版社：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人民文学出版社</w:t>
      </w:r>
    </w:p>
    <w:p>
      <w:pPr>
        <w:pStyle w:val="5"/>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right="0" w:rightChars="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出版时间：2023-05</w:t>
      </w:r>
    </w:p>
    <w:p>
      <w:pPr>
        <w:pStyle w:val="5"/>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right="0" w:rightChars="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定价：55.00</w:t>
      </w:r>
    </w:p>
    <w:p>
      <w:pPr>
        <w:pStyle w:val="5"/>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right="0" w:rightChars="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9787518099429</w:t>
      </w:r>
    </w:p>
    <w:p>
      <w:pPr>
        <w:pStyle w:val="5"/>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right="0" w:rightChars="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页码：216</w:t>
      </w:r>
    </w:p>
    <w:p>
      <w:pPr>
        <w:pStyle w:val="5"/>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right="0" w:rightChars="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开本：32</w:t>
      </w:r>
    </w:p>
    <w:p>
      <w:pPr>
        <w:pStyle w:val="5"/>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right="0" w:rightChars="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装订：平装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内容介绍</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Chars="0" w:right="0" w:rightChars="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ascii="pingfangSC" w:hAnsi="pingfangSC" w:eastAsia="pingfangSC" w:cs="pingfangSC"/>
          <w:i w:val="0"/>
          <w:caps w:val="0"/>
          <w:color w:val="666666"/>
          <w:spacing w:val="0"/>
          <w:sz w:val="18"/>
          <w:szCs w:val="18"/>
          <w:shd w:val="clear" w:fill="FFFFFF"/>
        </w:rPr>
        <w:t> </w:t>
      </w:r>
      <w:r>
        <w:rPr>
          <w:rFonts w:hint="default" w:asciiTheme="minorHAnsi" w:hAnsiTheme="minorHAnsi" w:eastAsiaTheme="minorEastAsia" w:cstheme="minorBidi"/>
          <w:b w:val="0"/>
          <w:kern w:val="0"/>
          <w:sz w:val="24"/>
          <w:szCs w:val="24"/>
          <w:lang w:val="en-US" w:eastAsia="zh-CN" w:bidi="ar"/>
        </w:rPr>
        <w:t>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阅读能够使人增长知识、获得进步，阅读是我们生活中必不可少的活动之一。但是，不是每个人都能够正确地进行阅读。真正的阅读是要用“脑”去读，而非只用“眼”去看。只有掌握了阅读的技巧，进行高效阅读，才能够使阅读有意义、有收获。《高效阅读：怎样成为一个读书高手》是一本帮助读者获得高效阅读能力的指导书，全书用六个章节介绍了高效阅读的训练方法，提供了具体的阅读练习材料，如果读者能在阅读的过程中，跟随书中介绍的方法进行循序渐进、坚持不懈的训练，就能够获得高效阅读的能力，成为一个真正的阅读高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第一</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章　改变一生的阅读方法</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cstheme="minorEastAsia"/>
          <w:b w:val="0"/>
          <w:i w:val="0"/>
          <w:caps w:val="0"/>
          <w:color w:val="auto"/>
          <w:spacing w:val="0"/>
          <w:kern w:val="0"/>
          <w:sz w:val="24"/>
          <w:szCs w:val="24"/>
          <w:shd w:val="clear" w:fill="FFFFFF"/>
          <w:lang w:val="en-US" w:eastAsia="zh-CN" w:bidi="ar"/>
        </w:rPr>
        <w:t>第一</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节　阅读是现代社会要求的生存技能·3</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第二节　阅读开阔视野，改变人生·6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第三节　改变不良的阅读习惯·10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第四节　快速阅读的起源·16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第五节　高效阅读的原理·21</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第六节　阅读能力检测公式·27</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专　栏　阅读力初步测试·31</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第二章　集中自己的注意力</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cstheme="minorEastAsia"/>
          <w:b w:val="0"/>
          <w:i w:val="0"/>
          <w:caps w:val="0"/>
          <w:color w:val="auto"/>
          <w:spacing w:val="0"/>
          <w:kern w:val="0"/>
          <w:sz w:val="24"/>
          <w:szCs w:val="24"/>
          <w:shd w:val="clear" w:fill="FFFFFF"/>
          <w:lang w:val="en-US" w:eastAsia="zh-CN" w:bidi="ar"/>
        </w:rPr>
        <w:t>第一</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节　高效阅读需要高度集中注意力·39</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第二节　固点凝视法·43</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宋体" w:hAnsi="宋体" w:eastAsia="宋体" w:cs="宋体"/>
          <w:sz w:val="24"/>
          <w:szCs w:val="24"/>
          <w:lang w:val="en-US" w:eastAsia="zh-CN"/>
        </w:rPr>
      </w:pPr>
      <w:r>
        <w:rPr>
          <w:rFonts w:ascii="宋体" w:hAnsi="宋体" w:eastAsia="宋体" w:cs="宋体"/>
          <w:sz w:val="24"/>
          <w:szCs w:val="24"/>
        </w:rPr>
        <w:drawing>
          <wp:inline distT="0" distB="0" distL="114300" distR="114300">
            <wp:extent cx="304800" cy="304800"/>
            <wp:effectExtent l="0" t="0" r="0" b="0"/>
            <wp:docPr id="10"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descr="IMG_256"/>
                    <pic:cNvPicPr>
                      <a:picLocks noChangeAspect="1"/>
                    </pic:cNvPicPr>
                  </pic:nvPicPr>
                  <pic:blipFill>
                    <a:blip r:embed="rId6"/>
                    <a:stretch>
                      <a:fillRect/>
                    </a:stretch>
                  </pic:blipFill>
                  <pic:spPr>
                    <a:xfrm>
                      <a:off x="0" y="0"/>
                      <a:ext cx="304800" cy="304800"/>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304800" cy="304800"/>
            <wp:effectExtent l="0" t="0" r="0" b="0"/>
            <wp:docPr id="9"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descr="IMG_256"/>
                    <pic:cNvPicPr>
                      <a:picLocks noChangeAspect="1"/>
                    </pic:cNvPicPr>
                  </pic:nvPicPr>
                  <pic:blipFill>
                    <a:blip r:embed="rId6"/>
                    <a:stretch>
                      <a:fillRect/>
                    </a:stretch>
                  </pic:blipFill>
                  <pic:spPr>
                    <a:xfrm>
                      <a:off x="0" y="0"/>
                      <a:ext cx="304800" cy="30480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7141210"/>
            <wp:effectExtent l="0" t="0" r="4445" b="254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0"/>
                    <a:stretch>
                      <a:fillRect/>
                    </a:stretch>
                  </pic:blipFill>
                  <pic:spPr>
                    <a:xfrm>
                      <a:off x="0" y="0"/>
                      <a:ext cx="5272405" cy="714121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HAnsi" w:hAnsiTheme="minorHAnsi" w:eastAsiaTheme="minorEastAsia" w:cstheme="minorBidi"/>
          <w:b w:val="0"/>
          <w:kern w:val="0"/>
          <w:sz w:val="24"/>
          <w:szCs w:val="24"/>
          <w:lang w:val="en-US" w:eastAsia="zh-CN" w:bidi="ar"/>
        </w:rPr>
      </w:pP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Chars="0" w:right="0" w:rightChars="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书名:中国服饰 </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Chars="0" w:right="0" w:rightChars="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70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Chars="0" w:right="0" w:rightChars="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作者:华梅 著</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Chars="0" w:right="0" w:rightChars="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出版社：五洲传播出版社</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Chars="0" w:right="0" w:rightChars="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出版日期：202</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-0</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6</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Chars="0" w:right="0" w:rightChars="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 9787508550107</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Chars="0" w:right="0" w:rightChars="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160</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Chars="0" w:right="0" w:rightChars="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Chars="0" w:right="0" w:rightChars="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p>
    <w:p>
      <w:pPr>
        <w:pStyle w:val="5"/>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Chars="0" w:right="0" w:rightChars="0"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中国人习惯把日常生活概括为“衣食住行”，服饰排在了首位，由此可见它在生活中的重要位置。在这个悠久的衣冠大国，不仅有丰富的考古资料记录其服饰发展，在古代神话、史书、诗词以及戏曲中，与服饰有关的记载也随处可见。伴随着民族间的相互融合，服饰的样式和穿着习俗不断</w:t>
      </w:r>
      <w:r>
        <w:rPr>
          <w:rFonts w:hint="eastAsia" w:asciiTheme="minorEastAsia" w:hAnsiTheme="minorEastAsia" w:cstheme="minorEastAsia"/>
          <w:b w:val="0"/>
          <w:i w:val="0"/>
          <w:caps w:val="0"/>
          <w:color w:val="auto"/>
          <w:spacing w:val="0"/>
          <w:kern w:val="0"/>
          <w:sz w:val="24"/>
          <w:szCs w:val="24"/>
          <w:shd w:val="clear" w:fill="FFFFFF"/>
          <w:lang w:val="en-US" w:eastAsia="zh-CN" w:bidi="ar"/>
        </w:rPr>
        <w:t>演绎</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，服饰不仅朝代之间有明显的差别，同一朝代的不同时期也有显著的</w:t>
      </w:r>
      <w:r>
        <w:rPr>
          <w:rFonts w:hint="eastAsia" w:asciiTheme="minorEastAsia" w:hAnsiTheme="minorEastAsia" w:cstheme="minorEastAsia"/>
          <w:b w:val="0"/>
          <w:i w:val="0"/>
          <w:caps w:val="0"/>
          <w:color w:val="auto"/>
          <w:spacing w:val="0"/>
          <w:kern w:val="0"/>
          <w:sz w:val="24"/>
          <w:szCs w:val="24"/>
          <w:shd w:val="clear" w:fill="FFFFFF"/>
          <w:lang w:val="en-US" w:eastAsia="zh-CN" w:bidi="ar"/>
        </w:rPr>
        <w:t>变</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前言</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简明古代服饰史</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广袖长袍</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胡服汉化</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魏晋风度</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唐装万象</w:t>
      </w:r>
      <w:bookmarkStart w:id="1" w:name="_GoBack"/>
      <w:bookmarkEnd w:id="1"/>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文雅的背子</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男人穿裙的最后朝代</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满汉融合的旗服</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ingfangSC">
    <w:altName w:val="Segoe Print"/>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B88765E"/>
    <w:multiLevelType w:val="singleLevel"/>
    <w:tmpl w:val="DB88765E"/>
    <w:lvl w:ilvl="0" w:tentative="0">
      <w:start w:val="1"/>
      <w:numFmt w:val="chineseCounting"/>
      <w:suff w:val="space"/>
      <w:lvlText w:val="第%1讲"/>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E1369D"/>
    <w:rsid w:val="00070D8D"/>
    <w:rsid w:val="01D764A4"/>
    <w:rsid w:val="026B52A8"/>
    <w:rsid w:val="0404395C"/>
    <w:rsid w:val="04F226DF"/>
    <w:rsid w:val="05FE3655"/>
    <w:rsid w:val="06005D4F"/>
    <w:rsid w:val="073E4821"/>
    <w:rsid w:val="079C5FB9"/>
    <w:rsid w:val="07E95068"/>
    <w:rsid w:val="07F738EF"/>
    <w:rsid w:val="08C7736C"/>
    <w:rsid w:val="09080709"/>
    <w:rsid w:val="0D081194"/>
    <w:rsid w:val="0D0E152F"/>
    <w:rsid w:val="0FBF0FEB"/>
    <w:rsid w:val="110C73D5"/>
    <w:rsid w:val="12BF44A8"/>
    <w:rsid w:val="148E744A"/>
    <w:rsid w:val="14E203B7"/>
    <w:rsid w:val="17DF2ACF"/>
    <w:rsid w:val="186E2F1A"/>
    <w:rsid w:val="186E53E6"/>
    <w:rsid w:val="18C03F3C"/>
    <w:rsid w:val="18EC0EC8"/>
    <w:rsid w:val="1A745F99"/>
    <w:rsid w:val="1AA21A31"/>
    <w:rsid w:val="1BCE4CF0"/>
    <w:rsid w:val="1C150605"/>
    <w:rsid w:val="1C5342F5"/>
    <w:rsid w:val="1CB302CB"/>
    <w:rsid w:val="1CD07500"/>
    <w:rsid w:val="1D8A7C54"/>
    <w:rsid w:val="1DE354B7"/>
    <w:rsid w:val="1DF63A5D"/>
    <w:rsid w:val="24A70C5B"/>
    <w:rsid w:val="252808FD"/>
    <w:rsid w:val="26B8703E"/>
    <w:rsid w:val="26D836ED"/>
    <w:rsid w:val="272B7EDF"/>
    <w:rsid w:val="28EB1926"/>
    <w:rsid w:val="2980141E"/>
    <w:rsid w:val="29872D19"/>
    <w:rsid w:val="29A052DE"/>
    <w:rsid w:val="29D04FE7"/>
    <w:rsid w:val="2A0738C1"/>
    <w:rsid w:val="2B1E39A5"/>
    <w:rsid w:val="2B61058A"/>
    <w:rsid w:val="2D8F4E20"/>
    <w:rsid w:val="2D9B67DD"/>
    <w:rsid w:val="2DAF120C"/>
    <w:rsid w:val="2EE17643"/>
    <w:rsid w:val="2EE21CCF"/>
    <w:rsid w:val="2F2E599C"/>
    <w:rsid w:val="3181111E"/>
    <w:rsid w:val="31C54140"/>
    <w:rsid w:val="327728A3"/>
    <w:rsid w:val="32A66FC4"/>
    <w:rsid w:val="32D86BAA"/>
    <w:rsid w:val="32EB096F"/>
    <w:rsid w:val="33AE69BF"/>
    <w:rsid w:val="34B21211"/>
    <w:rsid w:val="34D57167"/>
    <w:rsid w:val="35547C67"/>
    <w:rsid w:val="35F44504"/>
    <w:rsid w:val="36411DB4"/>
    <w:rsid w:val="36D321E4"/>
    <w:rsid w:val="36E15E0D"/>
    <w:rsid w:val="37CC2B67"/>
    <w:rsid w:val="38400821"/>
    <w:rsid w:val="3A8F4312"/>
    <w:rsid w:val="3B6F335A"/>
    <w:rsid w:val="3BB82598"/>
    <w:rsid w:val="3D1B1311"/>
    <w:rsid w:val="3E904565"/>
    <w:rsid w:val="400728F0"/>
    <w:rsid w:val="40D74597"/>
    <w:rsid w:val="410148B6"/>
    <w:rsid w:val="411614CB"/>
    <w:rsid w:val="4177629B"/>
    <w:rsid w:val="42737FED"/>
    <w:rsid w:val="43EE69C3"/>
    <w:rsid w:val="44AA3FD5"/>
    <w:rsid w:val="459E3C16"/>
    <w:rsid w:val="45C14B45"/>
    <w:rsid w:val="48E96E8D"/>
    <w:rsid w:val="49CF1BFA"/>
    <w:rsid w:val="4A0E0EA9"/>
    <w:rsid w:val="4B0506FB"/>
    <w:rsid w:val="4B8D3039"/>
    <w:rsid w:val="4BFC4347"/>
    <w:rsid w:val="4C917254"/>
    <w:rsid w:val="4CCC114D"/>
    <w:rsid w:val="4DFA4C20"/>
    <w:rsid w:val="4E3D3FA8"/>
    <w:rsid w:val="513B0612"/>
    <w:rsid w:val="517C546B"/>
    <w:rsid w:val="51D80029"/>
    <w:rsid w:val="51FA368D"/>
    <w:rsid w:val="522F2331"/>
    <w:rsid w:val="529334FC"/>
    <w:rsid w:val="530E19CF"/>
    <w:rsid w:val="546124CC"/>
    <w:rsid w:val="548E77CE"/>
    <w:rsid w:val="55981297"/>
    <w:rsid w:val="55FA758A"/>
    <w:rsid w:val="57930398"/>
    <w:rsid w:val="58234285"/>
    <w:rsid w:val="59DB2979"/>
    <w:rsid w:val="59EA0AF1"/>
    <w:rsid w:val="5A1A0218"/>
    <w:rsid w:val="5C1176B1"/>
    <w:rsid w:val="5C8241B5"/>
    <w:rsid w:val="5CE1369D"/>
    <w:rsid w:val="5D3B3E64"/>
    <w:rsid w:val="5E26539D"/>
    <w:rsid w:val="602A5D11"/>
    <w:rsid w:val="60490954"/>
    <w:rsid w:val="604D3851"/>
    <w:rsid w:val="62054A19"/>
    <w:rsid w:val="63EE7854"/>
    <w:rsid w:val="63FD4980"/>
    <w:rsid w:val="65204904"/>
    <w:rsid w:val="65235452"/>
    <w:rsid w:val="652E1D4D"/>
    <w:rsid w:val="652F630F"/>
    <w:rsid w:val="65A86554"/>
    <w:rsid w:val="66317954"/>
    <w:rsid w:val="66455EEA"/>
    <w:rsid w:val="6706686C"/>
    <w:rsid w:val="670B42C4"/>
    <w:rsid w:val="68E05C5C"/>
    <w:rsid w:val="69921113"/>
    <w:rsid w:val="69CE30C7"/>
    <w:rsid w:val="6B4B458E"/>
    <w:rsid w:val="6B7F2D61"/>
    <w:rsid w:val="6BE67506"/>
    <w:rsid w:val="6C0E4B07"/>
    <w:rsid w:val="6C1D7D6E"/>
    <w:rsid w:val="6CF5159E"/>
    <w:rsid w:val="6EFA5482"/>
    <w:rsid w:val="6F305AFA"/>
    <w:rsid w:val="6F9C3969"/>
    <w:rsid w:val="70712660"/>
    <w:rsid w:val="71884CF4"/>
    <w:rsid w:val="720170D1"/>
    <w:rsid w:val="724D5730"/>
    <w:rsid w:val="72DD7F15"/>
    <w:rsid w:val="72E6748A"/>
    <w:rsid w:val="74021C92"/>
    <w:rsid w:val="75B841FA"/>
    <w:rsid w:val="76CD09D0"/>
    <w:rsid w:val="76F13D79"/>
    <w:rsid w:val="799A08EB"/>
    <w:rsid w:val="7AB87779"/>
    <w:rsid w:val="7B4D48C8"/>
    <w:rsid w:val="7C077967"/>
    <w:rsid w:val="7C6D75E5"/>
    <w:rsid w:val="7CC96DE6"/>
    <w:rsid w:val="7DAB5FC4"/>
    <w:rsid w:val="7E5C72B9"/>
    <w:rsid w:val="7FDE03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Emphasis"/>
    <w:basedOn w:val="6"/>
    <w:qFormat/>
    <w:uiPriority w:val="0"/>
    <w:rPr>
      <w:i/>
    </w:rPr>
  </w:style>
  <w:style w:type="character" w:styleId="8">
    <w:name w:val="Hyperlink"/>
    <w:basedOn w:val="6"/>
    <w:qFormat/>
    <w:uiPriority w:val="0"/>
    <w:rPr>
      <w:color w:val="0000FF"/>
      <w:u w:val="single"/>
    </w:rPr>
  </w:style>
  <w:style w:type="paragraph" w:customStyle="1" w:styleId="10">
    <w:name w:val="_Style 8"/>
    <w:basedOn w:val="1"/>
    <w:next w:val="1"/>
    <w:qFormat/>
    <w:uiPriority w:val="0"/>
    <w:pPr>
      <w:pBdr>
        <w:bottom w:val="single" w:color="auto" w:sz="6" w:space="1"/>
      </w:pBdr>
      <w:jc w:val="center"/>
    </w:pPr>
    <w:rPr>
      <w:rFonts w:ascii="Arial" w:eastAsia="宋体"/>
      <w:vanish/>
      <w:sz w:val="16"/>
    </w:rPr>
  </w:style>
  <w:style w:type="paragraph" w:customStyle="1" w:styleId="11">
    <w:name w:val="_Style 9"/>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NUL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8.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20</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2022-01-17T03:37:00Z</dcterms:created>
  <dc:creator>admin</dc:creator>
  <cp:lastModifiedBy>admin</cp:lastModifiedBy>
  <dcterms:modified xsi:type="dcterms:W3CDTF">2023-12-26T02:00:40Z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