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p>
    <w:p>
      <w:pPr>
        <w:rPr>
          <w:rFonts w:hint="eastAsia" w:eastAsiaTheme="minorEastAsia"/>
          <w:lang w:eastAsia="zh-CN"/>
        </w:rPr>
      </w:pP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998460"/>
            <wp:effectExtent l="0" t="0" r="4445" b="254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tretch>
                      <a:fillRect/>
                    </a:stretch>
                  </pic:blipFill>
                  <pic:spPr>
                    <a:xfrm>
                      <a:off x="0" y="0"/>
                      <a:ext cx="5272405" cy="799846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Pic"/>
      <w:bookmarkEnd w:id="0"/>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书名：活生生的尤物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[美]亨利·詹姆斯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 人民文学出版社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w:t>
      </w:r>
      <w:r>
        <w:rPr>
          <w:rFonts w:hint="default" w:asciiTheme="minorHAnsi" w:hAnsiTheme="minorHAnsi" w:eastAsiaTheme="minorEastAsia" w:cstheme="minorBidi"/>
          <w:b w:val="0"/>
          <w:kern w:val="0"/>
          <w:sz w:val="24"/>
          <w:szCs w:val="24"/>
          <w:lang w:val="en-US" w:eastAsia="zh-CN" w:bidi="ar"/>
        </w:rPr>
        <w:t>版日期：</w:t>
      </w:r>
      <w:r>
        <w:rPr>
          <w:rFonts w:hint="eastAsia" w:asciiTheme="minorHAnsi" w:hAnsiTheme="minorHAnsi" w:eastAsiaTheme="minorEastAsia" w:cstheme="minorBidi"/>
          <w:b w:val="0"/>
          <w:kern w:val="0"/>
          <w:sz w:val="24"/>
          <w:szCs w:val="24"/>
          <w:lang w:val="en-US" w:eastAsia="zh-CN" w:bidi="ar"/>
        </w:rPr>
        <w:t>2022-02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：9787020129560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267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50</w:t>
      </w:r>
      <w:r>
        <w:rPr>
          <w:rFonts w:hint="default" w:asciiTheme="minorHAnsi" w:hAnsiTheme="minorHAnsi" w:eastAsiaTheme="minorEastAsia" w:cstheme="minorBidi"/>
          <w:b w:val="0"/>
          <w:kern w:val="0"/>
          <w:sz w:val="24"/>
          <w:szCs w:val="24"/>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firstLineChars="20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亨利·詹姆斯是英语世界至为重要的文学大师，受到约瑟夫·康拉德、T.S.艾略特、博尔赫斯、卡尔维诺、约瑟夫·海勒、格雷厄姆·格林、罗伯．格里耶、乔伊斯·卡罗尔·欧茨、戴维·洛奇、科尔姆·托宾等众多作家一致推崇，是当之无愧的“小说家中的小说家”。他一生共发表短篇小说11□篇，本书精选了《活生生的尤物》等7篇不可不读的短篇名作。这些小说以发表时间先后排序，涵盖亨利·詹姆斯整个创作生涯，集中体现了这位小说大师在短篇小说领域的非凡创造力，而《中年岁月》《地毯上的图案》诸篇更是深入亨利·詹姆斯文学核心的通关密钥</w:t>
      </w:r>
      <w:r>
        <w:rPr>
          <w:rFonts w:hint="default" w:asciiTheme="minorHAnsi" w:hAnsiTheme="minorHAnsi" w:eastAsiaTheme="minorEastAsia" w:cstheme="minorBidi"/>
          <w:b w:val="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学生</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活生生的尤物</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中年岁月</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地毯上的图案</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人间乐土</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知识树</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茱莉娅·布莱德</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 </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8355330"/>
            <wp:effectExtent l="0" t="0" r="444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6"/>
                    <a:stretch>
                      <a:fillRect/>
                    </a:stretch>
                  </pic:blipFill>
                  <pic:spPr>
                    <a:xfrm>
                      <a:off x="0" y="0"/>
                      <a:ext cx="5272405" cy="8355330"/>
                    </a:xfrm>
                    <a:prstGeom prst="rect">
                      <a:avLst/>
                    </a:prstGeom>
                    <a:noFill/>
                    <a:ln w="9525">
                      <a:noFill/>
                    </a:ln>
                  </pic:spPr>
                </pic:pic>
              </a:graphicData>
            </a:graphic>
          </wp:inline>
        </w:drawing>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书谱 书法雅言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作者：杨刚</w:t>
      </w:r>
      <w:r>
        <w:rPr>
          <w:rFonts w:hint="eastAsia" w:cstheme="minorBidi"/>
          <w:b w:val="0"/>
          <w:kern w:val="0"/>
          <w:sz w:val="24"/>
          <w:szCs w:val="24"/>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t>吉林大学出版社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ISBN：9787569285598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w:t>
      </w:r>
      <w:r>
        <w:rPr>
          <w:rFonts w:hint="eastAsia" w:cstheme="minorBidi"/>
          <w:b w:val="0"/>
          <w:kern w:val="0"/>
          <w:sz w:val="24"/>
          <w:szCs w:val="24"/>
          <w:lang w:val="en-US" w:eastAsia="zh-CN" w:bidi="ar"/>
        </w:rPr>
        <w:t>43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20</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谱》为唐代书法家孙过庭撰著的一篇书学理论名作，全文共三千七百字。虽字数不多，但含的内容广博宏富，涉及中国书学各个重要方面，且见解精辟独到，展现了书的本质及许多重要规律，从而成为我国古代书法理论一部重要著述。《书法雅言》是明代书法家、鉴赏家项穆撰著的一部书法理论著作。全书共17篇，详细阐述了书法的起源以及演变、品鉴书法的方式、学习书法写作的技巧等，并以匠人的精神品评历代书法家的优劣得失，展现了明代书法家的美学理念和清雅意趣</w:t>
      </w:r>
      <w:r>
        <w:rPr>
          <w:rFonts w:hint="eastAsia" w:asciiTheme="minorHAnsi" w:hAnsiTheme="minorHAnsi" w:eastAsiaTheme="minorEastAsia" w:cstheme="minorBidi"/>
          <w:b w:val="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ascii="pingfangSC" w:hAnsi="pingfangSC" w:eastAsia="pingfangSC" w:cs="pingfangSC"/>
          <w:i w:val="0"/>
          <w:caps w:val="0"/>
          <w:color w:val="666666"/>
          <w:spacing w:val="0"/>
          <w:sz w:val="24"/>
          <w:szCs w:val="24"/>
          <w:shd w:val="clear" w:fill="FFFFFF"/>
        </w:rPr>
        <w:t>书</w:t>
      </w:r>
      <w:r>
        <w:rPr>
          <w:rFonts w:hint="default" w:asciiTheme="minorHAnsi" w:hAnsiTheme="minorHAnsi" w:eastAsiaTheme="minorEastAsia" w:cstheme="minorBidi"/>
          <w:b w:val="0"/>
          <w:kern w:val="0"/>
          <w:sz w:val="24"/>
          <w:szCs w:val="24"/>
          <w:lang w:val="en-US" w:eastAsia="zh-CN" w:bidi="ar"/>
        </w:rPr>
        <w:t>谱—</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书谱二</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书谱三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书法雅言十六（器用）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书法雅言十七（知识）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81900"/>
            <wp:effectExtent l="0" t="0" r="4445" b="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a:stretch>
                      <a:fillRect/>
                    </a:stretch>
                  </pic:blipFill>
                  <pic:spPr>
                    <a:xfrm>
                      <a:off x="0" y="0"/>
                      <a:ext cx="5272405" cy="7581900"/>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“十四五”，我们如何开局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作者：任仲文</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出版社：人民日报出版社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SBN：9787511572288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199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48.00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2021年是党和国家历史上具有里程碑意义的一年。我们隆重庆祝中国共产党成立一百周年，实现个百年奋斗目标，开启向第二个百年奋斗目标进军新征程。2021年也是“十四五”开局之年，开局之年不平凡，傲人答卷来之不易。我国为何能实现良好开局？为解答这一问题，人民日报出版社特编辑出版《“十四五”，我们如何开局》一书，收录人民日报刊载的“‘十四五’，我们这样开局起步”专栏文章50余篇，记述2021年以来国家建设与民生保障取得的新成绩、展现的新面貌，以激励广大党员干部乘势而上，接续奋斗，干成一番新事业，干出一片新天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前言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“十四五”实现良好开□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聚力“两区”建设  高起点向前推进 ／ 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高质量高标准建设全面提速 ／ 004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xml:space="preserve">智能制造 助推产业升级 ／ </w:t>
      </w:r>
      <w:r>
        <w:rPr>
          <w:rFonts w:hint="eastAsia" w:asciiTheme="minorHAnsi" w:hAnsiTheme="minorHAnsi" w:eastAsiaTheme="minorEastAsia" w:cstheme="minorBidi"/>
          <w:b w:val="0"/>
          <w:kern w:val="0"/>
          <w:sz w:val="24"/>
          <w:szCs w:val="24"/>
          <w:lang w:val="en-US" w:eastAsia="zh-CN" w:bidi="ar"/>
        </w:rPr>
        <w:t>2</w:t>
      </w:r>
      <w:r>
        <w:rPr>
          <w:rFonts w:hint="default" w:asciiTheme="minorHAnsi" w:hAnsiTheme="minorHAnsi" w:eastAsiaTheme="minorEastAsia" w:cstheme="minorBidi"/>
          <w:b w:val="0"/>
          <w:kern w:val="0"/>
          <w:sz w:val="24"/>
          <w:szCs w:val="24"/>
          <w:lang w:val="en-US" w:eastAsia="zh-CN" w:bidi="ar"/>
        </w:rPr>
        <w:t>04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xml:space="preserve">黑龙江持续优化产业结构 ／ </w:t>
      </w:r>
      <w:r>
        <w:rPr>
          <w:rFonts w:hint="eastAsia" w:asciiTheme="minorHAnsi" w:hAnsiTheme="minorHAnsi" w:eastAsiaTheme="minorEastAsia" w:cstheme="minorBidi"/>
          <w:b w:val="0"/>
          <w:kern w:val="0"/>
          <w:sz w:val="24"/>
          <w:szCs w:val="24"/>
          <w:lang w:val="en-US" w:eastAsia="zh-CN" w:bidi="ar"/>
        </w:rPr>
        <w:t>2</w:t>
      </w:r>
      <w:r>
        <w:rPr>
          <w:rFonts w:hint="default" w:asciiTheme="minorHAnsi" w:hAnsiTheme="minorHAnsi" w:eastAsiaTheme="minorEastAsia" w:cstheme="minorBidi"/>
          <w:b w:val="0"/>
          <w:kern w:val="0"/>
          <w:sz w:val="24"/>
          <w:szCs w:val="24"/>
          <w:lang w:val="en-US" w:eastAsia="zh-CN" w:bidi="ar"/>
        </w:rPr>
        <w:t>07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 xml:space="preserve">坚定信心，坚定不移做好自己的事情 ／ </w:t>
      </w:r>
      <w:r>
        <w:rPr>
          <w:rFonts w:hint="eastAsia" w:asciiTheme="minorHAnsi" w:hAnsiTheme="minorHAnsi" w:eastAsiaTheme="minorEastAsia" w:cstheme="minorBidi"/>
          <w:b w:val="0"/>
          <w:kern w:val="0"/>
          <w:sz w:val="24"/>
          <w:szCs w:val="24"/>
          <w:lang w:val="en-US" w:eastAsia="zh-CN" w:bidi="ar"/>
        </w:rPr>
        <w:t>2</w:t>
      </w:r>
      <w:r>
        <w:rPr>
          <w:rFonts w:hint="default" w:asciiTheme="minorHAnsi" w:hAnsiTheme="minorHAnsi" w:eastAsiaTheme="minorEastAsia" w:cstheme="minorBidi"/>
          <w:b w:val="0"/>
          <w:kern w:val="0"/>
          <w:sz w:val="24"/>
          <w:szCs w:val="24"/>
          <w:lang w:val="en-US" w:eastAsia="zh-CN" w:bidi="ar"/>
        </w:rPr>
        <w:t>11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drawing>
          <wp:inline distT="0" distB="0" distL="114300" distR="114300">
            <wp:extent cx="5272405" cy="8034020"/>
            <wp:effectExtent l="0" t="0" r="4445" b="508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8"/>
                    <a:stretch>
                      <a:fillRect/>
                    </a:stretch>
                  </pic:blipFill>
                  <pic:spPr>
                    <a:xfrm>
                      <a:off x="0" y="0"/>
                      <a:ext cx="5272405" cy="803402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w:t>
      </w:r>
      <w:r>
        <w:rPr>
          <w:rFonts w:hint="default" w:asciiTheme="minorHAnsi" w:hAnsiTheme="minorHAnsi" w:eastAsiaTheme="minorEastAsia" w:cstheme="minorBidi"/>
          <w:b w:val="0"/>
          <w:kern w:val="0"/>
          <w:sz w:val="24"/>
          <w:szCs w:val="24"/>
          <w:lang w:val="en-US" w:eastAsia="zh-CN" w:bidi="ar"/>
        </w:rPr>
        <w:t>名：红学流派批评史论(精) </w:t>
      </w: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"https://book.jd.com/writer/%E8%B5%B5%E5%BB%BA%E5%BF%A0|%E8%B4%A3%E7%BC%96%EF%BC%9A%E4%BD%99%E7%91%BE_1.html"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赵建忠|责编：余瑾</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"https://book.jd.com/publish/%E4%B8%AD%E5%8D%8E%E4%B9%A6%E5%B1%80_1.html" \o "中华书局"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中华书局</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2022-1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ISBN：9787101153675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419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78.00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《红学流派批评史论》 一书为 哲学社会科学研 究规划项目“红学流派批评 史论”的结项成果。天津师 范大学赵建忠教授从红学流 派的视角切入并结合其学术 渊源，对《红楼梦》问世以 来的评点派、题咏派、杂评 派、索隐派、考证派、社会 历史批评派、美学批评派、 探佚派等的源流嬗变、治学 理念、兴衰起伏、功过得失 进行了系统的考察、梳理和 总结，多方位透视它们兴起 的历史文化背景及盛衰起伏 的原因，并进行前瞻性的总 结，兼及后四十回的真伪、 《红楼梦》的文化研究和文 本阐释等问题，进而反思新 时代的红学研究范式，对于 当代红学新批评视野的建构 有较大的理论价值和建设性 意义</w:t>
      </w:r>
      <w:r>
        <w:rPr>
          <w:rFonts w:hint="eastAsia" w:asciiTheme="minorHAnsi" w:hAnsiTheme="minorHAnsi" w:eastAsiaTheme="minorEastAsia" w:cstheme="minorBidi"/>
          <w:b w:val="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辨章学术考镜源流——《红学流派批评史论》序</w:t>
      </w:r>
      <w:r>
        <w:rPr>
          <w:rFonts w:hint="default"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 xml:space="preserve">第一章 </w:t>
      </w:r>
      <w:r>
        <w:rPr>
          <w:rFonts w:hint="default" w:asciiTheme="minorHAnsi" w:hAnsiTheme="minorHAnsi" w:eastAsiaTheme="minorEastAsia" w:cstheme="minorBidi"/>
          <w:b w:val="0"/>
          <w:kern w:val="0"/>
          <w:sz w:val="24"/>
          <w:szCs w:val="24"/>
          <w:lang w:val="en-US" w:eastAsia="zh-CN" w:bidi="ar"/>
        </w:rPr>
        <w:t>导论：红学流派批评史论的新建构</w:t>
      </w:r>
      <w:r>
        <w:rPr>
          <w:rFonts w:hint="default"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第一</w:t>
      </w:r>
      <w:r>
        <w:rPr>
          <w:rFonts w:hint="default" w:asciiTheme="minorHAnsi" w:hAnsiTheme="minorHAnsi" w:eastAsiaTheme="minorEastAsia" w:cstheme="minorBidi"/>
          <w:b w:val="0"/>
          <w:kern w:val="0"/>
          <w:sz w:val="24"/>
          <w:szCs w:val="24"/>
          <w:lang w:val="en-US" w:eastAsia="zh-CN" w:bidi="ar"/>
        </w:rPr>
        <w:t>节 文学 的独特景观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第十章 《红楼梦》影响研究与文本阐释空间的拓展</w:t>
      </w:r>
      <w:r>
        <w:rPr>
          <w:rFonts w:hint="default"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第一</w:t>
      </w:r>
      <w:r>
        <w:rPr>
          <w:rFonts w:hint="default" w:asciiTheme="minorHAnsi" w:hAnsiTheme="minorHAnsi" w:eastAsiaTheme="minorEastAsia" w:cstheme="minorBidi"/>
          <w:b w:val="0"/>
          <w:kern w:val="0"/>
          <w:sz w:val="24"/>
          <w:szCs w:val="24"/>
          <w:lang w:val="en-US" w:eastAsia="zh-CN" w:bidi="ar"/>
        </w:rPr>
        <w:t>节 《红楼梦》电视剧对原著意象的诠释</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第二节 《红楼梦》的“续仿”创作现象透视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03845"/>
            <wp:effectExtent l="0" t="0" r="4445" b="190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9"/>
                    <a:stretch>
                      <a:fillRect/>
                    </a:stretch>
                  </pic:blipFill>
                  <pic:spPr>
                    <a:xfrm>
                      <a:off x="0" y="0"/>
                      <a:ext cx="5272405" cy="79038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何为共同富裕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t>任仲文 编</w:t>
      </w:r>
      <w:bookmarkStart w:id="1" w:name="_GoBack"/>
      <w:bookmarkEnd w:id="1"/>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t>人民日报出版社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出版时间：2022-01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定价：46</w:t>
      </w:r>
      <w:r>
        <w:rPr>
          <w:rFonts w:hint="eastAsia" w:asciiTheme="minorHAnsi" w:hAnsiTheme="minorHAnsi" w:eastAsiaTheme="minorEastAsia" w:cstheme="minorBidi"/>
          <w:b w:val="0"/>
          <w:kern w:val="0"/>
          <w:sz w:val="24"/>
          <w:szCs w:val="24"/>
          <w:lang w:val="en-US" w:eastAsia="zh-CN" w:bidi="ar"/>
        </w:rPr>
        <w:t>.00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9787511571953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页码：172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共同富裕是社会主义的本质要求，是中国式现代化的重要特征。在未来的新征程上，扎实推进全体人民共同富裕，党员、干部特别是领导干部不仅要全面理解其深刻，而且要科学把握其内在要求，找准实现共同富裕的着力点。本书收录《人民日报》《经济日报》等新刊发的评论、理论文章，帮助广大党员干部全面、准确理解共同富裕。本书说理透彻、行文流畅，具有较强的可读性、理论性和指导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第一章 充分认识共同富裕的长期性</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一、共同富裕是党领导全体人民长期奋斗的目标　/ 002</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二、共同富裕是社会主义的本质要求　/ 009</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三、共同富裕是中国式现代化的重要特征　/ 013</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四、实现共同富裕是解决新时代主要矛盾的必然路径　/ 020</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五、实现共同富裕是关系党的长期执政的政治问题　/ 025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04800" cy="304800"/>
            <wp:effectExtent l="0" t="0" r="0" b="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98460"/>
            <wp:effectExtent l="0" t="0" r="4445" b="254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0"/>
                    <a:stretch>
                      <a:fillRect/>
                    </a:stretch>
                  </pic:blipFill>
                  <pic:spPr>
                    <a:xfrm>
                      <a:off x="0" y="0"/>
                      <a:ext cx="5272405" cy="799846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书名:中国文化优势十八讲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48</w:t>
      </w:r>
      <w:r>
        <w:rPr>
          <w:rFonts w:hint="default" w:asciiTheme="minorHAnsi" w:hAnsiTheme="minorHAnsi" w:eastAsiaTheme="minorEastAsia" w:cstheme="minorBidi"/>
          <w:b w:val="0"/>
          <w:kern w:val="0"/>
          <w:sz w:val="24"/>
          <w:szCs w:val="24"/>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作者:任初轩  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"https://book.jd.com/publish/%E4%BA%BA%E6%B0%91%E6%97%A5%E6%8A%A5%E5%87%BA%E7%89%88%E7%A4%BE_1.html" \o "人民日报出版社"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人民日报出版社</w:t>
      </w:r>
      <w:r>
        <w:rPr>
          <w:rFonts w:hint="default" w:asciiTheme="minorHAnsi" w:hAnsiTheme="minorHAnsi" w:eastAsiaTheme="minorEastAsia" w:cstheme="minorBidi"/>
          <w:b w:val="0"/>
          <w:kern w:val="0"/>
          <w:sz w:val="24"/>
          <w:szCs w:val="24"/>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出版日期：2022-0</w:t>
      </w:r>
      <w:r>
        <w:rPr>
          <w:rFonts w:hint="eastAsia" w:asciiTheme="minorHAnsi" w:hAnsiTheme="minorHAnsi" w:eastAsiaTheme="minorEastAsia" w:cstheme="minorBidi"/>
          <w:b w:val="0"/>
          <w:kern w:val="0"/>
          <w:sz w:val="24"/>
          <w:szCs w:val="24"/>
          <w:lang w:val="en-US" w:eastAsia="zh-CN" w:bidi="ar"/>
        </w:rPr>
        <w:t>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ISBN：9787511572738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269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firstLineChars="20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精选《人民日报》大家名家谈中国文化优势的相关文章，具体内容包括：传承创新中华优秀传统文化，继承发扬中国革命、建设、改革的伟大实践过程中孕育的革命文化，繁荣发展社会主义先进文化，建设社会主义文化强国等。除对中国文化优势的理论探讨外，本书还附延伸阅读，以具体文化创新发展事例来进一步论述新时代中国文化发展取得的重要成就和实践经验，如：新时代文化哲学研究的使命担当，让文化遗产活起来等，兼具理论性、实践性和可读性。本书有助于广大党员干部读懂中国文化优势，坚定文化自信，推动中国文化发展繁荣</w:t>
      </w:r>
      <w:r>
        <w:rPr>
          <w:rFonts w:hint="default" w:asciiTheme="minorHAnsi" w:hAnsiTheme="minorHAnsi" w:eastAsiaTheme="minorEastAsia" w:cstheme="minorBidi"/>
          <w:b w:val="0"/>
          <w:kern w:val="0"/>
          <w:sz w:val="24"/>
          <w:szCs w:val="24"/>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 xml:space="preserve">第一讲 </w:t>
      </w:r>
      <w:r>
        <w:rPr>
          <w:rFonts w:hint="default" w:asciiTheme="minorHAnsi" w:hAnsiTheme="minorHAnsi" w:eastAsiaTheme="minorEastAsia" w:cstheme="minorBidi"/>
          <w:b w:val="0"/>
          <w:kern w:val="0"/>
          <w:sz w:val="24"/>
          <w:szCs w:val="24"/>
          <w:lang w:val="en-US" w:eastAsia="zh-CN" w:bidi="ar"/>
        </w:rPr>
        <w:t>婚姻 001</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第二讲 族制 021</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第三讲 政体 035</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第四讲 阶级 049</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第五讲 财产 065</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rightChars="0"/>
        <w:jc w:val="left"/>
        <w:rPr>
          <w:rFonts w:hint="eastAsia" w:ascii="Helvetica" w:hAnsi="Helvetica" w:eastAsia="Helvetica" w:cs="Helvetica"/>
          <w:i w:val="0"/>
          <w:caps w:val="0"/>
          <w:color w:val="111111"/>
          <w:spacing w:val="0"/>
          <w:sz w:val="19"/>
          <w:szCs w:val="19"/>
          <w:shd w:val="clear" w:fill="FFFFFF"/>
          <w:lang w:val="en-US" w:eastAsia="zh-CN"/>
        </w:rPr>
      </w:pPr>
      <w:r>
        <w:rPr>
          <w:rFonts w:hint="eastAsia" w:ascii="Helvetica" w:hAnsi="Helvetica" w:eastAsia="Helvetica" w:cs="Helvetica"/>
          <w:i w:val="0"/>
          <w:caps w:val="0"/>
          <w:color w:val="111111"/>
          <w:spacing w:val="0"/>
          <w:sz w:val="19"/>
          <w:szCs w:val="19"/>
          <w:shd w:val="clear" w:fill="FFFFFF"/>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FE3655"/>
    <w:rsid w:val="073E4821"/>
    <w:rsid w:val="07E95068"/>
    <w:rsid w:val="08C7736C"/>
    <w:rsid w:val="09080709"/>
    <w:rsid w:val="0D081194"/>
    <w:rsid w:val="0FBF0FEB"/>
    <w:rsid w:val="12BF44A8"/>
    <w:rsid w:val="148E744A"/>
    <w:rsid w:val="186E2F1A"/>
    <w:rsid w:val="186E53E6"/>
    <w:rsid w:val="18C03F3C"/>
    <w:rsid w:val="18EC0EC8"/>
    <w:rsid w:val="1A745F99"/>
    <w:rsid w:val="1AA21A31"/>
    <w:rsid w:val="1BCE4CF0"/>
    <w:rsid w:val="1C150605"/>
    <w:rsid w:val="1C5342F5"/>
    <w:rsid w:val="1CB302CB"/>
    <w:rsid w:val="1D8A7C54"/>
    <w:rsid w:val="1DF63A5D"/>
    <w:rsid w:val="24A70C5B"/>
    <w:rsid w:val="26D836ED"/>
    <w:rsid w:val="272B7EDF"/>
    <w:rsid w:val="28EB1926"/>
    <w:rsid w:val="29872D19"/>
    <w:rsid w:val="29A052DE"/>
    <w:rsid w:val="29D04FE7"/>
    <w:rsid w:val="2A0738C1"/>
    <w:rsid w:val="2B1E39A5"/>
    <w:rsid w:val="2D8F4E20"/>
    <w:rsid w:val="2D9B67DD"/>
    <w:rsid w:val="2DAF120C"/>
    <w:rsid w:val="2EE17643"/>
    <w:rsid w:val="2F2E599C"/>
    <w:rsid w:val="3181111E"/>
    <w:rsid w:val="327728A3"/>
    <w:rsid w:val="32A66FC4"/>
    <w:rsid w:val="32D86BAA"/>
    <w:rsid w:val="32EB096F"/>
    <w:rsid w:val="33AE69BF"/>
    <w:rsid w:val="34D57167"/>
    <w:rsid w:val="35547C67"/>
    <w:rsid w:val="36411DB4"/>
    <w:rsid w:val="36D321E4"/>
    <w:rsid w:val="36E15E0D"/>
    <w:rsid w:val="37CC2B67"/>
    <w:rsid w:val="38400821"/>
    <w:rsid w:val="3A8F4312"/>
    <w:rsid w:val="3B6F335A"/>
    <w:rsid w:val="3D1B1311"/>
    <w:rsid w:val="3E904565"/>
    <w:rsid w:val="400728F0"/>
    <w:rsid w:val="40D74597"/>
    <w:rsid w:val="411614CB"/>
    <w:rsid w:val="4177629B"/>
    <w:rsid w:val="42737FED"/>
    <w:rsid w:val="43EE69C3"/>
    <w:rsid w:val="44AA3FD5"/>
    <w:rsid w:val="459E3C16"/>
    <w:rsid w:val="45C14B45"/>
    <w:rsid w:val="48E96E8D"/>
    <w:rsid w:val="4A0E0EA9"/>
    <w:rsid w:val="4B0506FB"/>
    <w:rsid w:val="4BFC4347"/>
    <w:rsid w:val="4C917254"/>
    <w:rsid w:val="4CCC114D"/>
    <w:rsid w:val="517C546B"/>
    <w:rsid w:val="51D80029"/>
    <w:rsid w:val="51FA368D"/>
    <w:rsid w:val="522F2331"/>
    <w:rsid w:val="529334FC"/>
    <w:rsid w:val="530E19CF"/>
    <w:rsid w:val="546124CC"/>
    <w:rsid w:val="548E77CE"/>
    <w:rsid w:val="55FA758A"/>
    <w:rsid w:val="57930398"/>
    <w:rsid w:val="58234285"/>
    <w:rsid w:val="59EA0AF1"/>
    <w:rsid w:val="5A1A0218"/>
    <w:rsid w:val="5C1176B1"/>
    <w:rsid w:val="5C8241B5"/>
    <w:rsid w:val="5CE1369D"/>
    <w:rsid w:val="602A5D11"/>
    <w:rsid w:val="60490954"/>
    <w:rsid w:val="604D3851"/>
    <w:rsid w:val="62054A19"/>
    <w:rsid w:val="63EE7854"/>
    <w:rsid w:val="65204904"/>
    <w:rsid w:val="65235452"/>
    <w:rsid w:val="652E1D4D"/>
    <w:rsid w:val="652F630F"/>
    <w:rsid w:val="65A86554"/>
    <w:rsid w:val="66317954"/>
    <w:rsid w:val="66455EEA"/>
    <w:rsid w:val="6706686C"/>
    <w:rsid w:val="670B42C4"/>
    <w:rsid w:val="68E05C5C"/>
    <w:rsid w:val="69921113"/>
    <w:rsid w:val="69CE30C7"/>
    <w:rsid w:val="6C0E4B07"/>
    <w:rsid w:val="6C1D7D6E"/>
    <w:rsid w:val="6EFA5482"/>
    <w:rsid w:val="6F305AFA"/>
    <w:rsid w:val="6F9C3969"/>
    <w:rsid w:val="70712660"/>
    <w:rsid w:val="720170D1"/>
    <w:rsid w:val="724D5730"/>
    <w:rsid w:val="72DD7F15"/>
    <w:rsid w:val="74021C92"/>
    <w:rsid w:val="75B841FA"/>
    <w:rsid w:val="76CD09D0"/>
    <w:rsid w:val="76F13D79"/>
    <w:rsid w:val="799A08EB"/>
    <w:rsid w:val="7AB87779"/>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48</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2023-07-11T02:10:07Z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