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rPr>
          <w:rFonts w:hint="eastAsia" w:eastAsiaTheme="minorEastAsia"/>
          <w:lang w:eastAsia="zh-CN"/>
        </w:rPr>
      </w:pPr>
      <w:r>
        <w:drawing>
          <wp:inline distT="0" distB="0" distL="114300" distR="114300">
            <wp:extent cx="6475730" cy="7998460"/>
            <wp:effectExtent l="0" t="0" r="1270" b="254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4"/>
                    <a:stretch>
                      <a:fillRect/>
                    </a:stretch>
                  </pic:blipFill>
                  <pic:spPr>
                    <a:xfrm>
                      <a:off x="0" y="0"/>
                      <a:ext cx="6475730" cy="799846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0"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改落花时节(1-4)</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作者：阿耐</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出版社：江苏凤凰文艺出版社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9787559458537</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1288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t>一场纠缠二十多年的恩怨，两代被仇恨吞噬的人</w:t>
      </w:r>
      <w:r>
        <w:rPr>
          <w:rFonts w:hint="eastAsia" w:asciiTheme="minorEastAsia" w:hAnsiTheme="minorEastAsia" w:cstheme="minorEastAsia"/>
          <w:b w:val="0"/>
          <w:i w:val="0"/>
          <w:caps w:val="0"/>
          <w:color w:val="auto"/>
          <w:spacing w:val="0"/>
          <w:kern w:val="0"/>
          <w:sz w:val="28"/>
          <w:szCs w:val="28"/>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t>在一场家庭</w:t>
      </w:r>
      <w:r>
        <w:rPr>
          <w:rFonts w:hint="eastAsia" w:asciiTheme="minorEastAsia" w:hAnsiTheme="minorEastAsia" w:cstheme="minorEastAsia"/>
          <w:b w:val="0"/>
          <w:i w:val="0"/>
          <w:caps w:val="0"/>
          <w:color w:val="auto"/>
          <w:spacing w:val="0"/>
          <w:kern w:val="0"/>
          <w:sz w:val="28"/>
          <w:szCs w:val="28"/>
          <w:shd w:val="clear" w:fill="FFFFFF"/>
          <w:lang w:val="en-US" w:eastAsia="zh-CN" w:bidi="ar"/>
        </w:rPr>
        <w:t>变</w:t>
      </w:r>
      <w:r>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t>故后，乖巧的她与弟弟改名换姓，余生都在逃离父辈的恩怨。 二十多年后，面对破裂的婚姻、自私偏心的母亲、伺机报复的弟弟、不肯罢休的仇家后人，她选择打破命运的安排，改</w:t>
      </w:r>
      <w:r>
        <w:rPr>
          <w:rFonts w:hint="eastAsia" w:asciiTheme="minorEastAsia" w:hAnsiTheme="minorEastAsia" w:cstheme="minorEastAsia"/>
          <w:b w:val="0"/>
          <w:i w:val="0"/>
          <w:caps w:val="0"/>
          <w:color w:val="auto"/>
          <w:spacing w:val="0"/>
          <w:kern w:val="0"/>
          <w:sz w:val="28"/>
          <w:szCs w:val="28"/>
          <w:shd w:val="clear" w:fill="FFFFFF"/>
          <w:lang w:val="en-US" w:eastAsia="zh-CN" w:bidi="ar"/>
        </w:rPr>
        <w:t>变</w:t>
      </w:r>
      <w:r>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t>这一切……</w:t>
      </w: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Helvetica" w:hAnsi="Helvetica" w:eastAsia="宋体" w:cs="Helvetica"/>
          <w:i w:val="0"/>
          <w:caps w:val="0"/>
          <w:color w:val="333333"/>
          <w:spacing w:val="0"/>
          <w:sz w:val="19"/>
          <w:szCs w:val="19"/>
          <w:shd w:val="clear" w:fill="FFFFFF"/>
          <w:lang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《落花时节1》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章重逢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第二章入局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第三章旧事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第四章初见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Helvetica" w:hAnsi="Helvetica" w:eastAsia="宋体" w:cs="Helvetica"/>
          <w:i w:val="0"/>
          <w:caps w:val="0"/>
          <w:color w:val="333333"/>
          <w:spacing w:val="0"/>
          <w:sz w:val="19"/>
          <w:szCs w:val="19"/>
          <w:shd w:val="clear" w:fill="FFFFFF"/>
          <w:lang w:eastAsia="zh-CN"/>
        </w:rPr>
        <w:t>。。。。。。</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《落花时节4》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章律师函</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第二章和解</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第三章真相</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8641715"/>
            <wp:effectExtent l="0" t="0" r="4445" b="6985"/>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6"/>
                    <a:stretch>
                      <a:fillRect/>
                    </a:stretch>
                  </pic:blipFill>
                  <pic:spPr>
                    <a:xfrm>
                      <a:off x="0" y="0"/>
                      <a:ext cx="5272405" cy="8641715"/>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白话资治通鉴 全12册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萧祥剑主编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"https://book.jd.com/publish/%E5%9B%A2%E7%BB%93%E5%87%BA%E7%89%88%E7%A4%BE_1.html" \o "团结出版社"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团结出版社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ISBN：9787512677722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7232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599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2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ahoma" w:hAnsi="Tahoma" w:eastAsia="Tahoma" w:cs="Tahoma"/>
          <w:i w:val="0"/>
          <w:caps w:val="0"/>
          <w:color w:val="666666"/>
          <w:spacing w:val="0"/>
          <w:kern w:val="0"/>
          <w:sz w:val="21"/>
          <w:szCs w:val="21"/>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文字流畅、没有删节的《资治通鉴》全译本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这部《白话资治通鉴》忠实于《资治通鉴》原文，对全书进行了完整的白话翻译。采用涵芬楼藏宋刊本《资治通鉴》为底本翻译</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本书以民国时期涵芬楼影印宋刊本《资治通鉴》为原文底本翻译，更为接近司马光的原著。每卷另写题解，快速了解每卷主要人物和大事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本书每一卷撰写题解一篇，达十几万字，让读者快速了解每卷主要人物和历史事件。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卷第一 周纪一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0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卷第二 周纪二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0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卷第三 周纪三</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Helvetica" w:hAnsi="Helvetica" w:eastAsia="宋体" w:cs="Helvetica"/>
          <w:i w:val="0"/>
          <w:caps w:val="0"/>
          <w:color w:val="333333"/>
          <w:spacing w:val="0"/>
          <w:sz w:val="19"/>
          <w:szCs w:val="19"/>
          <w:shd w:val="clear" w:fill="FFFFFF"/>
          <w:lang w:eastAsia="zh-CN"/>
        </w:rPr>
      </w:pPr>
      <w:r>
        <w:rPr>
          <w:rFonts w:hint="eastAsia" w:ascii="Helvetica" w:hAnsi="Helvetica" w:eastAsia="宋体" w:cs="Helvetica"/>
          <w:i w:val="0"/>
          <w:caps w:val="0"/>
          <w:color w:val="333333"/>
          <w:spacing w:val="0"/>
          <w:sz w:val="19"/>
          <w:szCs w:val="19"/>
          <w:shd w:val="clear" w:fill="FFFFFF"/>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卷第七十七 魏纪九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卷第七十八 魏纪十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580630"/>
            <wp:effectExtent l="0" t="0" r="4445" b="127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7"/>
                    <a:stretch>
                      <a:fillRect/>
                    </a:stretch>
                  </pic:blipFill>
                  <pic:spPr>
                    <a:xfrm>
                      <a:off x="0" y="0"/>
                      <a:ext cx="5272405" cy="758063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321" w:firstLineChars="10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Arial" w:hAnsi="Arial" w:eastAsia="宋体" w:cs="Arial"/>
          <w:b/>
          <w:i w:val="0"/>
          <w:caps w:val="0"/>
          <w:color w:val="666666"/>
          <w:spacing w:val="0"/>
          <w:sz w:val="24"/>
          <w:szCs w:val="24"/>
          <w:shd w:val="clear" w:fill="FFFFFF"/>
        </w:rPr>
        <w:t>高效配电网户变拓扑系统研究及应用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"https://book.jd.com/writer/%E9%AA%86%E5%BF%97%E5%9D%9A_1.html"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骆志坚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"https://www.jd.com/pinpai/1-1713-447808.html"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中国水利水电出版社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9787522602905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内容是基于正交频分复用与无线双模通信技术的户变拓扑系统研究，通过正交频分复用通信技术、载波融合无线（双模）通信技术、分布式电力载波路由技术、基于专家系统的户变关系拓扑网络自动完善算法和变户关系数据库的建立与接口技术等，研发出一套高可靠性的配网载波收发装置及系统，并在正交频分复用技术与双模技术结合的情况下完成典型配网网络用户在线识别检测系统技术的试点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第1章 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背景及意义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主要内容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应用情况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第2章 高效配电网户变拓扑系统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drawing>
          <wp:inline distT="0" distB="0" distL="114300" distR="114300">
            <wp:extent cx="5272405" cy="7605395"/>
            <wp:effectExtent l="0" t="0" r="4445" b="14605"/>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8"/>
                    <a:stretch>
                      <a:fillRect/>
                    </a:stretch>
                  </pic:blipFill>
                  <pic:spPr>
                    <a:xfrm>
                      <a:off x="0" y="0"/>
                      <a:ext cx="5272405" cy="760539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ascii="Arial" w:hAnsi="Arial" w:eastAsia="宋体" w:cs="Arial"/>
          <w:b/>
          <w:i w:val="0"/>
          <w:caps w:val="0"/>
          <w:color w:val="666666"/>
          <w:spacing w:val="0"/>
          <w:sz w:val="24"/>
          <w:szCs w:val="24"/>
          <w:shd w:val="clear" w:fill="FFFFFF"/>
        </w:rPr>
        <w:t>电气自动化管理与电网工程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eastAsia" w:asciiTheme="minorHAnsi" w:hAnsiTheme="minorHAnsi" w:eastAsiaTheme="minorEastAsia" w:cstheme="minorBidi"/>
          <w:kern w:val="0"/>
          <w:sz w:val="24"/>
          <w:szCs w:val="24"/>
          <w:lang w:val="en-US" w:eastAsia="zh-CN" w:bidi="ar"/>
        </w:rPr>
        <w:t>李岩 等  主编</w:t>
      </w:r>
      <w:r>
        <w:rPr>
          <w:rFonts w:hint="default" w:asciiTheme="minorHAnsi" w:hAnsiTheme="minorHAnsi" w:eastAsiaTheme="minorEastAsia" w:cstheme="minorBidi"/>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出版社：</w:t>
      </w:r>
      <w:r>
        <w:rPr>
          <w:rFonts w:asciiTheme="minorHAnsi" w:hAnsiTheme="minorHAnsi" w:eastAsiaTheme="minorEastAsia" w:cstheme="minorBidi"/>
          <w:kern w:val="0"/>
          <w:sz w:val="24"/>
          <w:szCs w:val="24"/>
          <w:lang w:val="en-US" w:eastAsia="zh-CN" w:bidi="ar"/>
        </w:rPr>
        <w:fldChar w:fldCharType="begin"/>
      </w:r>
      <w:r>
        <w:rPr>
          <w:rFonts w:asciiTheme="minorHAnsi" w:hAnsiTheme="minorHAnsi" w:eastAsiaTheme="minorEastAsia" w:cstheme="minorBidi"/>
          <w:kern w:val="0"/>
          <w:sz w:val="24"/>
          <w:szCs w:val="24"/>
          <w:lang w:val="en-US" w:eastAsia="zh-CN" w:bidi="ar"/>
        </w:rPr>
        <w:instrText xml:space="preserve"> HYPERLINK "https://book.jd.com/publish/%E6%B1%95%E5%A4%B4%E5%A4%A7%E5%AD%A6%E5%87%BA%E7%89%88%E7%A4%BE_1.html" \o "汕头大学出版社" \t "https://item.jd.com/_blank" </w:instrText>
      </w:r>
      <w:r>
        <w:rPr>
          <w:rFonts w:asciiTheme="minorHAnsi" w:hAnsiTheme="minorHAnsi" w:eastAsiaTheme="minorEastAsia" w:cstheme="minorBidi"/>
          <w:kern w:val="0"/>
          <w:sz w:val="24"/>
          <w:szCs w:val="24"/>
          <w:lang w:val="en-US" w:eastAsia="zh-CN" w:bidi="ar"/>
        </w:rPr>
        <w:fldChar w:fldCharType="separate"/>
      </w:r>
      <w:r>
        <w:rPr>
          <w:rFonts w:hint="default" w:asciiTheme="minorHAnsi" w:hAnsiTheme="minorHAnsi" w:eastAsiaTheme="minorEastAsia" w:cstheme="minorBidi"/>
          <w:kern w:val="0"/>
          <w:sz w:val="24"/>
          <w:szCs w:val="24"/>
          <w:lang w:val="en-US" w:eastAsia="zh-CN" w:bidi="ar"/>
        </w:rPr>
        <w:t>汕头大学出版社</w:t>
      </w:r>
      <w:r>
        <w:rPr>
          <w:rFonts w:hint="default" w:asciiTheme="minorHAnsi" w:hAnsiTheme="minorHAnsi" w:eastAsiaTheme="minorEastAsia" w:cstheme="minorBidi"/>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出版日期：</w:t>
      </w:r>
      <w:r>
        <w:rPr>
          <w:rFonts w:hint="eastAsia" w:asciiTheme="minorHAnsi" w:hAnsiTheme="minorHAnsi" w:eastAsiaTheme="minorEastAsia" w:cstheme="minorBidi"/>
          <w:kern w:val="0"/>
          <w:sz w:val="24"/>
          <w:szCs w:val="24"/>
          <w:lang w:val="en-US" w:eastAsia="zh-CN" w:bidi="ar"/>
        </w:rPr>
        <w:t>2021-05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ISBN：</w:t>
      </w:r>
      <w:r>
        <w:rPr>
          <w:rFonts w:asciiTheme="minorHAnsi" w:hAnsiTheme="minorHAnsi" w:eastAsiaTheme="minorEastAsia" w:cstheme="minorBidi"/>
          <w:kern w:val="0"/>
          <w:sz w:val="24"/>
          <w:szCs w:val="24"/>
          <w:lang w:val="en-US" w:eastAsia="zh-CN" w:bidi="ar"/>
        </w:rPr>
        <w:t>9787565843273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页码：</w:t>
      </w:r>
      <w:r>
        <w:rPr>
          <w:rFonts w:hint="eastAsia" w:asciiTheme="minorHAnsi" w:hAnsiTheme="minorHAnsi" w:eastAsiaTheme="minorEastAsia" w:cstheme="minorBidi"/>
          <w:kern w:val="0"/>
          <w:sz w:val="24"/>
          <w:szCs w:val="24"/>
          <w:lang w:val="en-US" w:eastAsia="zh-CN" w:bidi="ar"/>
        </w:rPr>
        <w:t>116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定价：</w:t>
      </w:r>
      <w:r>
        <w:rPr>
          <w:rFonts w:hint="eastAsia" w:asciiTheme="minorHAnsi" w:hAnsiTheme="minorHAnsi" w:eastAsiaTheme="minorEastAsia" w:cstheme="minorBidi"/>
          <w:kern w:val="0"/>
          <w:sz w:val="24"/>
          <w:szCs w:val="24"/>
          <w:lang w:val="en-US" w:eastAsia="zh-CN" w:bidi="ar"/>
        </w:rPr>
        <w:t>68.00</w:t>
      </w:r>
      <w:r>
        <w:rPr>
          <w:rFonts w:hint="default" w:asciiTheme="minorHAnsi" w:hAnsiTheme="minorHAnsi" w:eastAsiaTheme="minorEastAsia" w:cstheme="minorBidi"/>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装帧：</w:t>
      </w:r>
      <w:r>
        <w:rPr>
          <w:rFonts w:hint="eastAsia" w:asciiTheme="minorHAnsi" w:hAnsiTheme="minorHAnsi" w:eastAsiaTheme="minorEastAsia" w:cstheme="minorBidi"/>
          <w:kern w:val="0"/>
          <w:sz w:val="24"/>
          <w:szCs w:val="24"/>
          <w:lang w:val="en-US" w:eastAsia="zh-CN" w:bidi="ar"/>
        </w:rPr>
        <w:t>平</w:t>
      </w:r>
      <w:r>
        <w:rPr>
          <w:rFonts w:hint="default" w:asciiTheme="minorHAnsi" w:hAnsiTheme="minorHAnsi" w:eastAsiaTheme="minorEastAsia" w:cstheme="minorBidi"/>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开本：</w:t>
      </w:r>
      <w:r>
        <w:rPr>
          <w:rFonts w:hint="eastAsia" w:asciiTheme="minorHAnsi" w:hAnsiTheme="minorHAnsi" w:eastAsiaTheme="minorEastAsia" w:cstheme="minorBidi"/>
          <w:kern w:val="0"/>
          <w:sz w:val="24"/>
          <w:szCs w:val="24"/>
          <w:lang w:val="en-US" w:eastAsia="zh-CN" w:bidi="ar"/>
        </w:rPr>
        <w:t>16</w:t>
      </w:r>
      <w:r>
        <w:rPr>
          <w:rFonts w:hint="default" w:asciiTheme="minorHAnsi" w:hAnsiTheme="minorHAnsi" w:eastAsiaTheme="minorEastAsia" w:cstheme="minorBidi"/>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pPr>
      <w:r>
        <w:t>本书介绍了电气工程及自动化与电网工程管理，重点阐述了电气工程及自动化工程常用技术技能及电网降损管理技术，以适应现代电气自动化管理与电网工程的发展现状和趋势。</w:t>
      </w:r>
      <w:r>
        <w:rPr>
          <w:rFonts w:hint="default"/>
        </w:rPr>
        <w:br w:type="textWrapping"/>
      </w:r>
      <w:r>
        <w:rPr>
          <w:rFonts w:hint="eastAsia"/>
          <w:lang w:val="en-US" w:eastAsia="zh-CN"/>
        </w:rPr>
        <w:t xml:space="preserve">    </w:t>
      </w:r>
      <w:r>
        <w:rPr>
          <w:rFonts w:hint="default"/>
        </w:rPr>
        <w:t>全书分为4章，包括电气工程及自动化概论、电气工程及自动化工程常用技术技能、电网工程管理综述、电网降损管理技术。本书突出了基本概念与基本原理，在编写时注重多方面知识的融会贯通，注重知识层次递进，同时注重理论与实践的结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textAlignment w:val="top"/>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第一章 电气工程及自动化概论</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第一节 电气工程及自动化简介</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第二节 电气工程及自动化工程安装调试必备条件</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第三节 电气工程及自动化工程技术规程</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第四节 电气工程及自动化发展趋势</w:t>
      </w:r>
      <w:r>
        <w:rPr>
          <w:rFonts w:hint="default" w:asciiTheme="minorHAnsi" w:hAnsiTheme="minorHAnsi" w:eastAsiaTheme="minorEastAsia" w:cstheme="minorBidi"/>
          <w:kern w:val="0"/>
          <w:sz w:val="24"/>
          <w:szCs w:val="24"/>
          <w:lang w:val="en-US" w:eastAsia="zh-CN" w:bidi="ar"/>
        </w:rPr>
        <w:br w:type="textWrapping"/>
      </w:r>
      <w:r>
        <w:rPr>
          <w:rFonts w:hint="default" w:asciiTheme="minorHAnsi" w:hAnsiTheme="minorHAnsi" w:eastAsiaTheme="minorEastAsia" w:cstheme="minorBidi"/>
          <w:kern w:val="0"/>
          <w:sz w:val="24"/>
          <w:szCs w:val="24"/>
          <w:lang w:val="en-US" w:eastAsia="zh-CN" w:bidi="ar"/>
        </w:rPr>
        <w:t>第二章 电气工程及自动化工程常用技术技能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70470"/>
            <wp:effectExtent l="0" t="0" r="4445" b="11430"/>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r:embed="rId9"/>
                    <a:stretch>
                      <a:fillRect/>
                    </a:stretch>
                  </pic:blipFill>
                  <pic:spPr>
                    <a:xfrm>
                      <a:off x="0" y="0"/>
                      <a:ext cx="5272405" cy="757047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书名：中国电力工业发展史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 刘吉臻</w:t>
      </w:r>
      <w:r>
        <w:rPr>
          <w:rFonts w:hint="default" w:asciiTheme="minorHAnsi" w:hAnsiTheme="minorHAnsi" w:eastAsiaTheme="minorEastAsia" w:cstheme="minorBidi"/>
          <w:b w:val="0"/>
          <w:kern w:val="0"/>
          <w:sz w:val="24"/>
          <w:szCs w:val="24"/>
          <w:lang w:val="en-US" w:eastAsia="zh-CN" w:bidi="ar"/>
        </w:rPr>
        <w:t>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定价:58.00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ISBN：9787519864491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页码：314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中国电力工业发展史， 通过梳理百年来特别是新中 国成立后电力体制改革、电 力技术进步和电力建设成就 等历史资料，充分展示了中 国共产党对电力事业的坚强 领导、电力工业对国民经济 发展的巨大促进作用和电力 人筚路蓝缕的创业奉献精神 ，总结了电力工业发展规律 ，展望了中国电力工业美好 未来。全书共七部分内容： 导论，中国电力工业的起步 和艰难发展（1882—1949 ），计划经济体制下的电力 工业（1949—1978），改 革开放与电力工业的快速发 展（1978—2002），电力 工业的跨越式发展（2002— 2015），电力工业高质量 发展（2015—2020），中 国电力工业发展成就、经验 和展望。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前言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导论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节 电力工业发展史基本概念</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一、电力工业和电力系统</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二、中国电力管理体制及其变革</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三、中国电力工业的兴起和发展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【拓展阅读】能源哲学需要深思维</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【电与社会】美国得州致命寒潮电价飙升近200倍</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第二节 中国电力工业学科发展和研究方法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一、电力工业学科和电力高等教育发展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二、电力工业学科发展史的研究方法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033895"/>
            <wp:effectExtent l="0" t="0" r="4445" b="14605"/>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pic:cNvPicPr>
                  </pic:nvPicPr>
                  <pic:blipFill>
                    <a:blip r:embed="rId10"/>
                    <a:stretch>
                      <a:fillRect/>
                    </a:stretch>
                  </pic:blipFill>
                  <pic:spPr>
                    <a:xfrm>
                      <a:off x="0" y="0"/>
                      <a:ext cx="5272405" cy="70338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ascii="Arial" w:hAnsi="Arial" w:eastAsia="宋体" w:cs="Arial"/>
          <w:b/>
          <w:i w:val="0"/>
          <w:caps w:val="0"/>
          <w:color w:val="666666"/>
          <w:spacing w:val="0"/>
          <w:sz w:val="24"/>
          <w:szCs w:val="24"/>
          <w:shd w:val="clear" w:fill="FFFFFF"/>
        </w:rPr>
        <w:t>境外新能源项目技术尽职调查指引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作者: </w:t>
      </w:r>
      <w:r>
        <w:rPr>
          <w:rFonts w:hint="eastAsia" w:cstheme="minorBidi"/>
          <w:b w:val="0"/>
          <w:kern w:val="0"/>
          <w:sz w:val="24"/>
          <w:szCs w:val="24"/>
          <w:lang w:val="en-US" w:eastAsia="zh-CN" w:bidi="ar"/>
        </w:rPr>
        <w:t>国电投 编</w:t>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出版时间:2021-1</w:t>
      </w:r>
      <w:r>
        <w:rPr>
          <w:rFonts w:hint="eastAsia" w:cstheme="minorBidi"/>
          <w:b w:val="0"/>
          <w:kern w:val="0"/>
          <w:sz w:val="24"/>
          <w:szCs w:val="24"/>
          <w:lang w:val="en-US" w:eastAsia="zh-CN" w:bidi="ar"/>
        </w:rPr>
        <w:t>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w:t>
      </w:r>
      <w:r>
        <w:rPr>
          <w:rFonts w:hint="eastAsia" w:cstheme="minorBidi"/>
          <w:b w:val="0"/>
          <w:kern w:val="0"/>
          <w:sz w:val="24"/>
          <w:szCs w:val="24"/>
          <w:lang w:val="en-US" w:eastAsia="zh-CN" w:bidi="ar"/>
        </w:rPr>
        <w:t>6</w:t>
      </w:r>
      <w:r>
        <w:rPr>
          <w:rFonts w:hint="eastAsia" w:asciiTheme="minorHAnsi" w:hAnsiTheme="minorHAnsi" w:eastAsiaTheme="minorEastAsia" w:cstheme="minorBidi"/>
          <w:b w:val="0"/>
          <w:kern w:val="0"/>
          <w:sz w:val="24"/>
          <w:szCs w:val="24"/>
          <w:lang w:val="en-US" w:eastAsia="zh-CN" w:bidi="ar"/>
        </w:rPr>
        <w:t>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ascii="Tahoma" w:hAnsi="Tahoma" w:eastAsia="Tahoma" w:cs="Tahoma"/>
          <w:i w:val="0"/>
          <w:caps w:val="0"/>
          <w:color w:val="666666"/>
          <w:spacing w:val="0"/>
          <w:sz w:val="18"/>
          <w:szCs w:val="18"/>
          <w:shd w:val="clear" w:fill="FFFFFF"/>
        </w:rPr>
        <w:t>9787519862671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w:t>
      </w:r>
      <w:r>
        <w:rPr>
          <w:rFonts w:hint="eastAsia" w:cstheme="minorBidi"/>
          <w:b w:val="0"/>
          <w:kern w:val="0"/>
          <w:sz w:val="24"/>
          <w:szCs w:val="24"/>
          <w:lang w:val="en-US" w:eastAsia="zh-CN" w:bidi="ar"/>
        </w:rPr>
        <w:t>72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在编写过程中广泛收集分析国内外新能源技术尽职调查有关案例资料，重点总结研究国家电投境外投资项目尽职调查经验，着重整理了国际、国内和国家电投相关标准和规范。在此基础上，对境外新能源资产并购的技术尽职调查工作的基本流程、职责分工、工作组织、主要方法、风险点和关注点进行全面梳理，将技术尽职调查工作表格、尽职调查报告参考目录、主要设备信息和主要技术标准要求作为附录列出，供尽职调查工作中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HAnsi" w:hAnsiTheme="minorHAnsi" w:eastAsiaTheme="minorEastAsia" w:cstheme="minorBidi"/>
          <w:b w:val="0"/>
          <w:kern w:val="0"/>
          <w:sz w:val="24"/>
          <w:szCs w:val="24"/>
          <w:lang w:val="en-US" w:eastAsia="zh-CN" w:bidi="ar"/>
        </w:rPr>
        <w:t>●前言</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第1章总则</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1.1编制目的</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1.2适用范围</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1.3编制依据</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1.4使用说明</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第2章技术尽职调查基本工作规范</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2.1工作目标与原则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F226DF"/>
    <w:rsid w:val="05FE3655"/>
    <w:rsid w:val="073E4821"/>
    <w:rsid w:val="07E95068"/>
    <w:rsid w:val="08C7736C"/>
    <w:rsid w:val="0FBF0FEB"/>
    <w:rsid w:val="12BF44A8"/>
    <w:rsid w:val="186E53E6"/>
    <w:rsid w:val="1A745F99"/>
    <w:rsid w:val="1BCE4CF0"/>
    <w:rsid w:val="1CB302CB"/>
    <w:rsid w:val="24A70C5B"/>
    <w:rsid w:val="26D836ED"/>
    <w:rsid w:val="272B7EDF"/>
    <w:rsid w:val="29872D19"/>
    <w:rsid w:val="29D04FE7"/>
    <w:rsid w:val="2A0738C1"/>
    <w:rsid w:val="2D9B67DD"/>
    <w:rsid w:val="2DAF120C"/>
    <w:rsid w:val="2F2E599C"/>
    <w:rsid w:val="33AE69BF"/>
    <w:rsid w:val="35547C67"/>
    <w:rsid w:val="37CC2B67"/>
    <w:rsid w:val="38400821"/>
    <w:rsid w:val="3B6F335A"/>
    <w:rsid w:val="3D1B1311"/>
    <w:rsid w:val="3E904565"/>
    <w:rsid w:val="411614CB"/>
    <w:rsid w:val="42737FED"/>
    <w:rsid w:val="43EE69C3"/>
    <w:rsid w:val="459E3C16"/>
    <w:rsid w:val="4A0E0EA9"/>
    <w:rsid w:val="517C546B"/>
    <w:rsid w:val="51FA368D"/>
    <w:rsid w:val="522F2331"/>
    <w:rsid w:val="55FA758A"/>
    <w:rsid w:val="58234285"/>
    <w:rsid w:val="59EA0AF1"/>
    <w:rsid w:val="5A1A0218"/>
    <w:rsid w:val="5CE1369D"/>
    <w:rsid w:val="62054A19"/>
    <w:rsid w:val="63EE7854"/>
    <w:rsid w:val="65204904"/>
    <w:rsid w:val="65235452"/>
    <w:rsid w:val="652E1D4D"/>
    <w:rsid w:val="652F630F"/>
    <w:rsid w:val="65A86554"/>
    <w:rsid w:val="66455EEA"/>
    <w:rsid w:val="68E05C5C"/>
    <w:rsid w:val="69921113"/>
    <w:rsid w:val="69CE30C7"/>
    <w:rsid w:val="6C0E4B07"/>
    <w:rsid w:val="6C1D7D6E"/>
    <w:rsid w:val="6EFA5482"/>
    <w:rsid w:val="6F9C3969"/>
    <w:rsid w:val="72DD7F15"/>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NUL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2022-10-14T07:10:55Z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