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0"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4"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141210"/>
            <wp:effectExtent l="0" t="0" r="4445" b="254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5"/>
                    <a:stretch>
                      <a:fillRect/>
                    </a:stretch>
                  </pic:blipFill>
                  <pic:spPr>
                    <a:xfrm>
                      <a:off x="0" y="0"/>
                      <a:ext cx="5272405" cy="714121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304800</wp:posOffset>
            </wp:positionH>
            <wp:positionV relativeFrom="paragraph">
              <wp:posOffset>45720</wp:posOffset>
            </wp:positionV>
            <wp:extent cx="304800" cy="304800"/>
            <wp:effectExtent l="0" t="0" r="0" b="0"/>
            <wp:wrapSquare wrapText="bothSides"/>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a:stretch>
                      <a:fillRect/>
                    </a:stretch>
                  </pic:blipFill>
                  <pic:spPr>
                    <a:xfrm>
                      <a:off x="0" y="0"/>
                      <a:ext cx="304800" cy="304800"/>
                    </a:xfrm>
                    <a:prstGeom prst="rect">
                      <a:avLst/>
                    </a:prstGeom>
                    <a:noFill/>
                    <a:ln w="9525">
                      <a:noFill/>
                    </a:ln>
                  </pic:spPr>
                </pic:pic>
              </a:graphicData>
            </a:graphic>
          </wp:anchor>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lang w:eastAsia="zh-CN"/>
        </w:rPr>
      </w:pPr>
      <w:bookmarkStart w:id="0" w:name="Pic"/>
      <w:bookmarkEnd w:id="0"/>
      <w:r>
        <w:rPr>
          <w:rFonts w:hint="eastAsia" w:ascii="Verdana" w:hAnsi="Verdana" w:cs="Verdana"/>
          <w:i w:val="0"/>
          <w:caps w:val="0"/>
          <w:color w:val="323232"/>
          <w:spacing w:val="0"/>
          <w:sz w:val="27"/>
          <w:szCs w:val="27"/>
          <w:lang w:eastAsia="zh-CN"/>
        </w:rPr>
        <w:t>书名：</w:t>
      </w:r>
      <w:r>
        <w:rPr>
          <w:rFonts w:hint="default" w:ascii="Verdana" w:hAnsi="Verdana" w:cs="Verdana"/>
          <w:i w:val="0"/>
          <w:caps w:val="0"/>
          <w:color w:val="323232"/>
          <w:spacing w:val="0"/>
          <w:sz w:val="27"/>
          <w:szCs w:val="27"/>
          <w:bdr w:val="none" w:color="auto" w:sz="0" w:space="0"/>
          <w:shd w:val="clear" w:fill="FFFFFF"/>
        </w:rPr>
        <w:t>改革开放简史</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本书编写组  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：9787010231860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186</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在中国共产党成立100周年之际，由中共中央宣传部等部门组织编写的《改革开放简史》正式出版发行。该书共7章44节，完整、系统回顾了40多年来，中国共产党以毛泽东思想、邓小平理论、“三个代表”重要思想、科学发展观和习近平新时代中国特色社会主义思想为指导，在改革开放起步时期、开创新局面时期、在科学发展中深化时期、进入新时代时期等不同阶段，团结带领全国各族人民解放思想、实事求是，开辟</w:t>
      </w:r>
      <w:r>
        <w:rPr>
          <w:rFonts w:hint="default"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"https://item.jd.com/javascript:void(0);" </w:instrText>
      </w:r>
      <w:r>
        <w:rPr>
          <w:rFonts w:hint="default"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cstheme="minorEastAsia"/>
          <w:b w:val="0"/>
          <w:i w:val="0"/>
          <w:caps w:val="0"/>
          <w:color w:val="auto"/>
          <w:spacing w:val="0"/>
          <w:kern w:val="0"/>
          <w:sz w:val="24"/>
          <w:szCs w:val="24"/>
          <w:shd w:val="clear" w:fill="FFFFFF"/>
          <w:lang w:val="en-US" w:eastAsia="zh-CN" w:bidi="ar"/>
        </w:rPr>
        <w:t>中国特色社会主义</w:t>
      </w:r>
      <w:r>
        <w:rPr>
          <w:rFonts w:hint="default" w:asciiTheme="minorEastAsia" w:hAnsi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cstheme="minorEastAsia"/>
          <w:b w:val="0"/>
          <w:i w:val="0"/>
          <w:caps w:val="0"/>
          <w:color w:val="auto"/>
          <w:spacing w:val="0"/>
          <w:kern w:val="0"/>
          <w:sz w:val="24"/>
          <w:szCs w:val="24"/>
          <w:shd w:val="clear" w:fill="FFFFFF"/>
          <w:lang w:val="en-US" w:eastAsia="zh-CN" w:bidi="ar"/>
        </w:rPr>
        <w:t>建设新道路，开创改革开放和</w:t>
      </w:r>
      <w:r>
        <w:rPr>
          <w:rFonts w:hint="default"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"https://item.jd.com/javascript:void(0);" </w:instrText>
      </w:r>
      <w:r>
        <w:rPr>
          <w:rFonts w:hint="default"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cstheme="minorEastAsia"/>
          <w:b w:val="0"/>
          <w:i w:val="0"/>
          <w:caps w:val="0"/>
          <w:color w:val="auto"/>
          <w:spacing w:val="0"/>
          <w:kern w:val="0"/>
          <w:sz w:val="24"/>
          <w:szCs w:val="24"/>
          <w:shd w:val="clear" w:fill="FFFFFF"/>
          <w:lang w:val="en-US" w:eastAsia="zh-CN" w:bidi="ar"/>
        </w:rPr>
        <w:t>社会主义现代化建设</w:t>
      </w:r>
      <w:r>
        <w:rPr>
          <w:rFonts w:hint="default" w:asciiTheme="minorEastAsia" w:hAnsi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cstheme="minorEastAsia"/>
          <w:b w:val="0"/>
          <w:i w:val="0"/>
          <w:caps w:val="0"/>
          <w:color w:val="auto"/>
          <w:spacing w:val="0"/>
          <w:kern w:val="0"/>
          <w:sz w:val="24"/>
          <w:szCs w:val="24"/>
          <w:shd w:val="clear" w:fill="FFFFFF"/>
          <w:lang w:val="en-US" w:eastAsia="zh-CN" w:bidi="ar"/>
        </w:rPr>
        <w:t>新局面，不断与时俱进，开拓创新，经受住各种困难和风险考验，取得脱贫攻坚战全面胜利，如期实现全面建成小康社会目标，把中国特色社会主义事业胜利推向前进的奋斗历程。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改革开放拉开大幕</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改革开放全面展开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改革开放开创新局面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改革开放在科学发展中深化</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五</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改革开放进入新时代</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六</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坚定不移推进全面深化改革</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七</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坚定不移扩大高水平对外开放</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8152765"/>
            <wp:effectExtent l="0" t="0" r="4445" b="63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6"/>
                    <a:stretch>
                      <a:fillRect/>
                    </a:stretch>
                  </pic:blipFill>
                  <pic:spPr>
                    <a:xfrm>
                      <a:off x="0" y="0"/>
                      <a:ext cx="5272405" cy="815276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2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书名：四十二式太极拳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董国兴  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人民体育</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9787500958161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ahoma" w:hAnsi="Tahoma" w:eastAsia="Tahoma" w:cs="Tahoma"/>
          <w:i w:val="0"/>
          <w:caps w:val="0"/>
          <w:color w:val="666666"/>
          <w:spacing w:val="0"/>
          <w:kern w:val="0"/>
          <w:sz w:val="21"/>
          <w:szCs w:val="21"/>
          <w:shd w:val="clear" w:fill="FFFFFF"/>
          <w:lang w:val="en-US" w:eastAsia="zh-CN" w:bidi="ar"/>
        </w:rPr>
        <w:t>　</w:t>
      </w:r>
      <w:r>
        <w:rPr>
          <w:rFonts w:hint="eastAsia" w:ascii="Tahoma" w:hAnsi="Tahoma" w:eastAsia="Tahoma" w:cs="Tahoma"/>
          <w:i w:val="0"/>
          <w:caps w:val="0"/>
          <w:color w:val="666666"/>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四十二式太极拳，不局限于某个流派，兼采众长，所以又被称为“综合太极拳”。此拳以杨式太极拳动作为基调，选用了陈式太极拳的发劲动作（如掩手肱捶、野马分鬃）、吴式太极拳的细腻手法（如开合手、右单鞭）、孙式太极拳的开合手法及灵活步法（如斜飞式等），风格突出，结构新颖，内容充实，锻炼全面。因为上述诸多优点，此拳受到教练员与运动员以及广大太极拳爱好者的一致好评，成了广传全球的中国太极拳标准套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起势</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二、右揽雀尾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三、左单鞭</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四、提手</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五、白鹤亮翅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六、搂膝拗步</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七、撇身捶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八、捋挤式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九、进步搬拦捶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十、如封似闭</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Helvetica" w:hAnsi="Helvetica" w:eastAsia="宋体" w:cs="Helvetica"/>
          <w:i w:val="0"/>
          <w:caps w:val="0"/>
          <w:color w:val="333333"/>
          <w:spacing w:val="0"/>
          <w:sz w:val="19"/>
          <w:szCs w:val="19"/>
          <w:shd w:val="clear" w:fill="FFFFFF"/>
          <w:lang w:eastAsia="zh-CN"/>
        </w:rPr>
      </w:pPr>
      <w:r>
        <w:rPr>
          <w:rFonts w:hint="eastAsia" w:ascii="Helvetica" w:hAnsi="Helvetica" w:eastAsia="宋体" w:cs="Helvetica"/>
          <w:i w:val="0"/>
          <w:caps w:val="0"/>
          <w:color w:val="333333"/>
          <w:spacing w:val="0"/>
          <w:sz w:val="19"/>
          <w:szCs w:val="19"/>
          <w:shd w:val="clear"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033895"/>
            <wp:effectExtent l="0" t="0" r="4445" b="1460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7"/>
                    <a:stretch>
                      <a:fillRect/>
                    </a:stretch>
                  </pic:blipFill>
                  <pic:spPr>
                    <a:xfrm>
                      <a:off x="0" y="0"/>
                      <a:ext cx="5272405" cy="703389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321" w:firstLineChars="10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我的世界观(科学天才的自画像)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[美]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"https://book.jd.com/writer/%E9%98%BF%E5%B0%94%E4%BC%AF%E7%89%B9%C2%B7%E7%88%B1%E5%9B%A0%E6%96%AF%E5%9D%A6_1.html"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阿尔伯特·爱因斯坦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"https://book.jd.com/writer/%E4%BD%99%E8%8D%83_1.html"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余荃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江西美术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ISBN：9787548078692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爱因斯坦一生发表了300多篇科学论文以及150多篇非科学论文，留下了3万多封信件。本书以时间为轴，以卡尔·泽里希（Carl Seelig）编辑修订的德语版《我的世界观》为底本，对爱因斯坦的书信、演讲、刊文、访谈等珍贵史料进行了重新编排，帮助读者一窥这位天才科学家在政治、经济、文化、宗教、犹太文化、纳粹主义、战争等问题上的思考，领略这位伟大科学家隐秘而纯真的精神世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1920—1929年</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给日本小学生的一封信</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达沃斯的大学课程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论国家之间的和平共处</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保障人类的未来</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给利奥·拜克（Leo Baeck）的献语</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爱因斯坦大事年纪</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391785" cy="7856220"/>
            <wp:effectExtent l="0" t="0" r="18415" b="1143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8"/>
                    <a:stretch>
                      <a:fillRect/>
                    </a:stretch>
                  </pic:blipFill>
                  <pic:spPr>
                    <a:xfrm>
                      <a:off x="0" y="0"/>
                      <a:ext cx="5391785" cy="78562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HAnsi" w:hAnsiTheme="minorHAnsi" w:eastAsiaTheme="minorEastAsia" w:cstheme="minorBidi"/>
          <w:b w:val="0"/>
          <w:kern w:val="0"/>
          <w:sz w:val="24"/>
          <w:szCs w:val="24"/>
          <w:lang w:val="en-US" w:eastAsia="zh-CN" w:bidi="ar"/>
        </w:rPr>
        <w:t>法国</w:t>
      </w:r>
      <w:r>
        <w:rPr>
          <w:rFonts w:hint="default" w:asciiTheme="minorHAnsi" w:hAnsiTheme="minorHAnsi" w:eastAsiaTheme="minorEastAsia" w:cstheme="minorBidi"/>
          <w:b w:val="0"/>
          <w:kern w:val="0"/>
          <w:sz w:val="24"/>
          <w:szCs w:val="24"/>
          <w:lang w:val="en-US" w:eastAsia="zh-CN" w:bidi="ar"/>
        </w:rPr>
        <w:t>文学讲演录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郭宏安</w:t>
      </w:r>
      <w:r>
        <w:rPr>
          <w:rFonts w:hint="eastAsia" w:asciiTheme="minorHAnsi" w:hAnsiTheme="minorHAnsi" w:eastAsiaTheme="minorEastAsia" w:cstheme="minorBidi"/>
          <w:b w:val="0"/>
          <w:kern w:val="0"/>
          <w:sz w:val="24"/>
          <w:szCs w:val="24"/>
          <w:lang w:val="en-US" w:eastAsia="zh-CN" w:bidi="ar"/>
        </w:rPr>
        <w:t xml:space="preserve"> 著</w:t>
      </w: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百花洲文艺出版社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2021-09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ISBN：9787550042032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36.00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pPr>
      <w:r>
        <w:rPr>
          <w:bdr w:val="none" w:color="auto" w:sz="0" w:space="0"/>
        </w:rPr>
        <w:t>《</w:t>
      </w:r>
      <w:r>
        <w:rPr>
          <w:rFonts w:hint="eastAsia"/>
          <w:bdr w:val="none" w:color="auto" w:sz="0" w:space="0"/>
          <w:lang w:eastAsia="zh-CN"/>
        </w:rPr>
        <w:t>法国</w:t>
      </w:r>
      <w:r>
        <w:rPr>
          <w:bdr w:val="none" w:color="auto" w:sz="0" w:space="0"/>
        </w:rPr>
        <w:t>文学讲演录》是中国社会科学院荣誉学部委员、□□文学研究与翻译名家郭宏安先生的首部文学讲演录。近40年来，作者曾在多所高等院校或社会机构开展有关□□文学的讲座，由此精选出10篇讲稿，汇编成书。书中讨论了蒙田、巴尔扎克、波德莱尔、圣伯夫等名家及其名作，相当于带领广大读者对他们进行了艺术侦查与创作剖析，皆以简洁质朴的文字、深入浅出的方式，极为鲜明表达了作者对于□□文学特点与发展的见解。同时，作者介绍了作品背后所反映的广泛社会背景和丰富的生活内容，突出其独特性根植于□□文明的传统，追溯了激情的轨迹，并充分品味细节的魔力，重温与鲜活文字初遇的欣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lang w:val="en-US" w:eastAsia="zh-CN"/>
        </w:rPr>
      </w:pPr>
      <w:r>
        <w:t>20世纪的法国文学图景</w:t>
      </w:r>
      <w:r>
        <w:rPr>
          <w:rFonts w:hint="default"/>
        </w:rPr>
        <w:br w:type="textWrapping"/>
      </w:r>
      <w:r>
        <w:rPr>
          <w:rFonts w:hint="default"/>
        </w:rPr>
        <w:t>蒙田和他的《随笔集》</w:t>
      </w:r>
      <w:r>
        <w:rPr>
          <w:rFonts w:hint="default"/>
        </w:rPr>
        <w:br w:type="textWrapping"/>
      </w:r>
      <w:r>
        <w:rPr>
          <w:rFonts w:hint="default"/>
        </w:rPr>
        <w:t>《红与黑》：人怎样才能够幸福</w:t>
      </w:r>
      <w:r>
        <w:rPr>
          <w:rFonts w:hint="default"/>
        </w:rPr>
        <w:br w:type="textWrapping"/>
      </w:r>
      <w:r>
        <w:rPr>
          <w:rFonts w:hint="default"/>
        </w:rPr>
        <w:t>谈谈巴尔扎克</w:t>
      </w:r>
      <w:r>
        <w:rPr>
          <w:rFonts w:hint="default"/>
        </w:rPr>
        <w:br w:type="textWrapping"/>
      </w:r>
      <w:r>
        <w:rPr>
          <w:rFonts w:hint="default"/>
        </w:rPr>
        <w:t>在恶之花园中徜徉</w:t>
      </w:r>
      <w:r>
        <w:rPr>
          <w:rFonts w:hint="default"/>
        </w:rPr>
        <w:br w:type="textWrapping"/>
      </w:r>
      <w:r>
        <w:rPr>
          <w:rFonts w:hint="default"/>
        </w:rPr>
        <w:t>——波德莱尔和他的《恶之花》</w:t>
      </w:r>
      <w:r>
        <w:rPr>
          <w:rFonts w:hint="default"/>
        </w:rPr>
        <w:br w:type="textWrapping"/>
      </w:r>
      <w:r>
        <w:rPr>
          <w:rFonts w:hint="default"/>
        </w:rPr>
        <w:t>圣伯夫：在现代性的门槛上</w:t>
      </w:r>
      <w:r>
        <w:rPr>
          <w:rFonts w:hint="default"/>
        </w:rPr>
        <w:br w:type="textWrapping"/>
      </w:r>
      <w:r>
        <w:rPr>
          <w:rFonts w:hint="default"/>
        </w:rPr>
        <w:t>读《局外人》</w:t>
      </w:r>
      <w:r>
        <w:rPr>
          <w:rFonts w:hint="default"/>
        </w:rPr>
        <w:br w:type="textWrapping"/>
      </w:r>
      <w:r>
        <w:rPr>
          <w:rFonts w:hint="default"/>
        </w:rPr>
        <w:t>让·斯塔罗宾斯基：超越“日内瓦学派”</w:t>
      </w:r>
      <w:r>
        <w:rPr>
          <w:rFonts w:hint="default"/>
        </w:rPr>
        <w:br w:type="textWrapping"/>
      </w:r>
      <w:r>
        <w:rPr>
          <w:rFonts w:hint="default"/>
        </w:rPr>
        <w:t>略说文学随笔</w:t>
      </w:r>
      <w:r>
        <w:rPr>
          <w:rFonts w:hint="default"/>
        </w:rPr>
        <w:br w:type="textWrapping"/>
      </w:r>
      <w:r>
        <w:rPr>
          <w:rFonts w:hint="default"/>
        </w:rPr>
        <w:t>传达原作的风格，是文学翻译的优选境界</w:t>
      </w:r>
      <w:r>
        <w:rPr>
          <w:rFonts w:hint="default"/>
        </w:rPr>
        <w:br w:type="textWrapping"/>
      </w:r>
      <w:r>
        <w:rPr>
          <w:rFonts w:hint="default"/>
        </w:rPr>
        <w:t>——以《局外人》和《红与黑》为例</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r>
        <w:drawing>
          <wp:inline distT="0" distB="0" distL="114300" distR="114300">
            <wp:extent cx="5843270" cy="7117080"/>
            <wp:effectExtent l="0" t="0" r="5080" b="7620"/>
            <wp:docPr id="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1"/>
                    </pic:cNvPicPr>
                  </pic:nvPicPr>
                  <pic:blipFill>
                    <a:blip r:embed="rId9"/>
                    <a:stretch>
                      <a:fillRect/>
                    </a:stretch>
                  </pic:blipFill>
                  <pic:spPr>
                    <a:xfrm>
                      <a:off x="0" y="0"/>
                      <a:ext cx="5843270" cy="711708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eastAsia="zh-CN"/>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w:t>
      </w:r>
      <w:r>
        <w:rPr>
          <w:rFonts w:hint="eastAsia"/>
          <w:lang w:val="en-US" w:eastAsia="zh-CN"/>
        </w:rPr>
        <w:t>名：</w:t>
      </w:r>
      <w:r>
        <w:rPr>
          <w:rFonts w:hint="eastAsia"/>
          <w:lang w:eastAsia="zh-CN"/>
        </w:rPr>
        <w:t>被当作真理追求的爱情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 xml:space="preserve">作者: </w:t>
      </w:r>
      <w:r>
        <w:rPr>
          <w:rFonts w:hint="eastAsia"/>
          <w:lang w:eastAsia="zh-CN"/>
        </w:rPr>
        <w:fldChar w:fldCharType="begin"/>
      </w:r>
      <w:r>
        <w:rPr>
          <w:rFonts w:hint="eastAsia"/>
          <w:lang w:eastAsia="zh-CN"/>
        </w:rPr>
        <w:instrText xml:space="preserve"> HYPERLINK "https://book.jd.com/writer/%E6%B1%AA%E5%AD%90%E7%90%B3|%E8%B4%A3%E7%BC%96%EF%BC%9A%E8%AE%B8%E5%A4%8D_1.html" \t "https://item.jd.com/_blank" </w:instrText>
      </w:r>
      <w:r>
        <w:rPr>
          <w:rFonts w:hint="eastAsia"/>
          <w:lang w:eastAsia="zh-CN"/>
        </w:rPr>
        <w:fldChar w:fldCharType="separate"/>
      </w:r>
      <w:r>
        <w:rPr>
          <w:rFonts w:hint="default"/>
          <w:lang w:eastAsia="zh-CN"/>
        </w:rPr>
        <w:t>许复</w:t>
      </w:r>
      <w:r>
        <w:rPr>
          <w:rFonts w:hint="default"/>
          <w:lang w:eastAsia="zh-CN"/>
        </w:rPr>
        <w:fldChar w:fldCharType="end"/>
      </w:r>
      <w:r>
        <w:rPr>
          <w:rFonts w:hint="default"/>
          <w:lang w:eastAsia="zh-CN"/>
        </w:rPr>
        <w:t> 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出版社:百花洲文艺出版社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出版时间:2021-06</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定价:39.00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ISBN：</w:t>
      </w:r>
      <w:r>
        <w:rPr>
          <w:rFonts w:hint="default"/>
          <w:lang w:val="en-US" w:eastAsia="zh-CN"/>
        </w:rPr>
        <w:t>9787537864077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页码：253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开本:32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r>
        <w:rPr>
          <w:rFonts w:hint="eastAsia"/>
          <w:lang w:val="en-US" w:eastAsia="zh-CN"/>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default"/>
          <w:lang w:val="en-US" w:eastAsia="zh-CN"/>
        </w:rPr>
      </w:pPr>
      <w:r>
        <w:rPr>
          <w:rFonts w:hint="eastAsia"/>
          <w:lang w:val="en-US" w:eastAsia="zh-CN"/>
        </w:rPr>
        <w:t>人生难得一知己，千古 知音 难觅！尤其是异性间 惺惺相惜、相敬的知音！胡 玫版《孔子》林子玥喜欢， 集合了她心中理想的男人与 女人。男人，贫贱不移富贵 不淫威武不屈坦荡磊落：承 认美色难以抵挡又终抵挡住 ，情思深深，而无邪念。女 人，雄才美色兼顾识大体顾 大局知进退懂取舍善解人意 ：真乃男人红颜知己！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lang w:eastAsia="zh-CN"/>
        </w:rPr>
        <w:t>第一</w:t>
      </w:r>
      <w:r>
        <w:t>章：读研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第二章：宠爱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第三章：桃花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第四章：身份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第十一章：守护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第十二章：节日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第十三章：矛盾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第十四章：惊喜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第十五章：幼稚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t>第十六章：温暖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712710"/>
            <wp:effectExtent l="0" t="0" r="4445" b="254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10"/>
                    <a:stretch>
                      <a:fillRect/>
                    </a:stretch>
                  </pic:blipFill>
                  <pic:spPr>
                    <a:xfrm>
                      <a:off x="0" y="0"/>
                      <a:ext cx="5272405" cy="771271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1" w:name="_GoBack"/>
      <w:bookmarkEnd w:id="1"/>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电网企业科技创新与项目管理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作者: </w:t>
      </w:r>
      <w:r>
        <w:rPr>
          <w:rFonts w:hint="default" w:asciiTheme="minorHAnsi" w:hAnsiTheme="minorHAnsi" w:eastAsiaTheme="minorEastAsia" w:cstheme="minorBidi"/>
          <w:b w:val="0"/>
          <w:kern w:val="0"/>
          <w:sz w:val="24"/>
          <w:szCs w:val="24"/>
          <w:lang w:val="en-US" w:eastAsia="zh-CN" w:bidi="ar"/>
        </w:rPr>
        <w:t>刘益军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定价:40.00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ISBN:9787519859725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本书针对电网企业科技创新专业特色与管理模式，基于电网企业科技创新领域实践做法和科技创新通用知识与政策法规等，从科技创新管理体系、项目管理、团队建设、创新成果与奖励、知识产</w:t>
      </w:r>
      <w:r>
        <w:rPr>
          <w:rFonts w:hint="eastAsia" w:asciiTheme="minorHAnsi" w:hAnsiTheme="minorHAnsi" w:eastAsiaTheme="minorEastAsia" w:cstheme="minorBidi"/>
          <w:b w:val="0"/>
          <w:kern w:val="0"/>
          <w:sz w:val="24"/>
          <w:szCs w:val="24"/>
          <w:lang w:val="en-US" w:eastAsia="zh-CN" w:bidi="ar"/>
        </w:rPr>
        <w:t>权、创新工具与方法等方面，对电网企业开展科技创新活动可能涉及的各业务领域知识进行了全面、系统地阐述。本书内容包括八个章节，分别是电力企业科技创新管理体系、创新与人才成长、技术创新项目管理、创新团队管理、创新常用工具与方法、技术创新中的知识产权管理、科技成果与奖励、职务科技成果转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HAnsi" w:hAnsiTheme="minorHAnsi" w:eastAsiaTheme="minorEastAsia" w:cstheme="minorBidi"/>
          <w:b w:val="0"/>
          <w:kern w:val="0"/>
          <w:sz w:val="24"/>
          <w:szCs w:val="24"/>
          <w:lang w:val="en-US" w:eastAsia="zh-CN" w:bidi="ar"/>
        </w:rPr>
        <w:t>●前言</w:t>
      </w:r>
      <w:r>
        <w:rPr>
          <w:rFonts w:hint="eastAsia" w:asciiTheme="minorHAnsi" w:hAnsiTheme="minorHAnsi" w:eastAsiaTheme="minorEastAsia" w:cstheme="minorBidi"/>
          <w:b w:val="0"/>
          <w:kern w:val="0"/>
          <w:sz w:val="24"/>
          <w:szCs w:val="24"/>
          <w:lang w:val="en-US" w:eastAsia="zh-CN" w:bidi="ar"/>
        </w:rPr>
        <w:br w:type="textWrapping"/>
      </w:r>
      <w:r>
        <w:rPr>
          <w:rFonts w:hint="eastAsia" w:cstheme="minorBidi"/>
          <w:b w:val="0"/>
          <w:kern w:val="0"/>
          <w:sz w:val="24"/>
          <w:szCs w:val="24"/>
          <w:lang w:val="en-US" w:eastAsia="zh-CN" w:bidi="ar"/>
        </w:rPr>
        <w:t>第一</w:t>
      </w:r>
      <w:r>
        <w:rPr>
          <w:rFonts w:hint="eastAsia" w:asciiTheme="minorHAnsi" w:hAnsiTheme="minorHAnsi" w:eastAsiaTheme="minorEastAsia" w:cstheme="minorBidi"/>
          <w:b w:val="0"/>
          <w:kern w:val="0"/>
          <w:sz w:val="24"/>
          <w:szCs w:val="24"/>
          <w:lang w:val="en-US" w:eastAsia="zh-CN" w:bidi="ar"/>
        </w:rPr>
        <w:t>章 科技创新管理体系</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第二章 科技创新与人才成长</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第三章 科技创新项目管理</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第四章 创新团队管理</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第五章 创新常用工具与方法</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第六章 知识产权管理</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第七章 科技成果与奖励</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第八章 科技成果转化</w:t>
      </w:r>
      <w:r>
        <w:rPr>
          <w:rFonts w:hint="eastAsia" w:asciiTheme="minorHAnsi" w:hAnsiTheme="minorHAnsi" w:eastAsiaTheme="minorEastAsia" w:cstheme="minorBidi"/>
          <w:b w:val="0"/>
          <w:kern w:val="0"/>
          <w:sz w:val="24"/>
          <w:szCs w:val="24"/>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E6FB29"/>
    <w:multiLevelType w:val="singleLevel"/>
    <w:tmpl w:val="A6E6FB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F226DF"/>
    <w:rsid w:val="05FE3655"/>
    <w:rsid w:val="073E4821"/>
    <w:rsid w:val="07E95068"/>
    <w:rsid w:val="08C7736C"/>
    <w:rsid w:val="0FBF0FEB"/>
    <w:rsid w:val="186E53E6"/>
    <w:rsid w:val="1A745F99"/>
    <w:rsid w:val="1BCE4CF0"/>
    <w:rsid w:val="1CB302CB"/>
    <w:rsid w:val="24A70C5B"/>
    <w:rsid w:val="26D836ED"/>
    <w:rsid w:val="29872D19"/>
    <w:rsid w:val="29D04FE7"/>
    <w:rsid w:val="2A0738C1"/>
    <w:rsid w:val="2D9B67DD"/>
    <w:rsid w:val="2DAF120C"/>
    <w:rsid w:val="2F2E599C"/>
    <w:rsid w:val="33AE69BF"/>
    <w:rsid w:val="35547C67"/>
    <w:rsid w:val="37CC2B67"/>
    <w:rsid w:val="38400821"/>
    <w:rsid w:val="3B6F335A"/>
    <w:rsid w:val="3D1B1311"/>
    <w:rsid w:val="3E904565"/>
    <w:rsid w:val="411614CB"/>
    <w:rsid w:val="42737FED"/>
    <w:rsid w:val="43EE69C3"/>
    <w:rsid w:val="459E3C16"/>
    <w:rsid w:val="4A0E0EA9"/>
    <w:rsid w:val="517C546B"/>
    <w:rsid w:val="51FA368D"/>
    <w:rsid w:val="522F2331"/>
    <w:rsid w:val="55FA758A"/>
    <w:rsid w:val="59EA0AF1"/>
    <w:rsid w:val="5A1A0218"/>
    <w:rsid w:val="5CE1369D"/>
    <w:rsid w:val="62054A19"/>
    <w:rsid w:val="63EE7854"/>
    <w:rsid w:val="65204904"/>
    <w:rsid w:val="65235452"/>
    <w:rsid w:val="652E1D4D"/>
    <w:rsid w:val="652F630F"/>
    <w:rsid w:val="65A86554"/>
    <w:rsid w:val="66455EEA"/>
    <w:rsid w:val="69921113"/>
    <w:rsid w:val="69CE30C7"/>
    <w:rsid w:val="6C0E4B07"/>
    <w:rsid w:val="6C1D7D6E"/>
    <w:rsid w:val="6EFA5482"/>
    <w:rsid w:val="6F9C3969"/>
    <w:rsid w:val="72DD7F15"/>
    <w:rsid w:val="75B841FA"/>
    <w:rsid w:val="76CD09D0"/>
    <w:rsid w:val="799A08EB"/>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2022-08-29T02:38:50Z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